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4" w:rsidRDefault="00E67454" w:rsidP="00E67454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0381D" w:rsidRDefault="00E0381D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1D">
        <w:rPr>
          <w:rFonts w:ascii="Times New Roman" w:hAnsi="Times New Roman" w:cs="Times New Roman"/>
          <w:b/>
          <w:sz w:val="24"/>
          <w:szCs w:val="24"/>
        </w:rPr>
        <w:t>Данъчния</w:t>
      </w:r>
      <w:r w:rsidR="00416A27">
        <w:rPr>
          <w:rFonts w:ascii="Times New Roman" w:hAnsi="Times New Roman" w:cs="Times New Roman"/>
          <w:b/>
          <w:sz w:val="24"/>
          <w:szCs w:val="24"/>
        </w:rPr>
        <w:t>т</w:t>
      </w:r>
      <w:r w:rsidRPr="00E0381D">
        <w:rPr>
          <w:rFonts w:ascii="Times New Roman" w:hAnsi="Times New Roman" w:cs="Times New Roman"/>
          <w:b/>
          <w:sz w:val="24"/>
          <w:szCs w:val="24"/>
        </w:rPr>
        <w:t xml:space="preserve"> режим по ЗДДС на доставките с предмет инвестиционно злато е уреден в глава 19, чл.</w:t>
      </w:r>
      <w:r w:rsidR="00D3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1D">
        <w:rPr>
          <w:rFonts w:ascii="Times New Roman" w:hAnsi="Times New Roman" w:cs="Times New Roman"/>
          <w:b/>
          <w:sz w:val="24"/>
          <w:szCs w:val="24"/>
        </w:rPr>
        <w:t>160-163 ЗДДС и Раздел ІV – чл.</w:t>
      </w:r>
      <w:r w:rsidR="00D3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1D">
        <w:rPr>
          <w:rFonts w:ascii="Times New Roman" w:hAnsi="Times New Roman" w:cs="Times New Roman"/>
          <w:b/>
          <w:sz w:val="24"/>
          <w:szCs w:val="24"/>
        </w:rPr>
        <w:t>98-100</w:t>
      </w:r>
      <w:r w:rsidR="000C4007">
        <w:rPr>
          <w:rFonts w:ascii="Times New Roman" w:hAnsi="Times New Roman" w:cs="Times New Roman"/>
          <w:b/>
          <w:sz w:val="24"/>
          <w:szCs w:val="24"/>
        </w:rPr>
        <w:t>а</w:t>
      </w:r>
      <w:r w:rsidRPr="00E0381D">
        <w:rPr>
          <w:rFonts w:ascii="Times New Roman" w:hAnsi="Times New Roman" w:cs="Times New Roman"/>
          <w:b/>
          <w:sz w:val="24"/>
          <w:szCs w:val="24"/>
        </w:rPr>
        <w:t xml:space="preserve"> от ППЗДДС</w:t>
      </w:r>
    </w:p>
    <w:p w:rsidR="00672522" w:rsidRPr="00D3400C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2522" w:rsidRPr="00B95ACB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25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A284D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CE01D9" w:rsidRPr="005A28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01D9" w:rsidRPr="005A284D">
        <w:rPr>
          <w:rFonts w:ascii="Times New Roman" w:hAnsi="Times New Roman" w:cs="Times New Roman"/>
          <w:color w:val="000000"/>
          <w:sz w:val="24"/>
          <w:szCs w:val="24"/>
        </w:rPr>
        <w:t>чл. 160а</w:t>
      </w:r>
      <w:r w:rsidR="00410BA3" w:rsidRPr="00E8714D">
        <w:rPr>
          <w:rFonts w:ascii="Times New Roman" w:hAnsi="Times New Roman" w:cs="Times New Roman"/>
          <w:color w:val="000000"/>
          <w:sz w:val="24"/>
          <w:szCs w:val="24"/>
        </w:rPr>
        <w:t>, ал. 1 от ЗДДС</w:t>
      </w:r>
      <w:r w:rsidR="00CE01D9"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 (Нов - ДВ, бр. 97 от 2017 г., в сила от 01.01.2018 г.) </w:t>
      </w:r>
      <w:r w:rsidRPr="005A2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81D" w:rsidRPr="00E0381D" w:rsidRDefault="00E0381D" w:rsidP="00E0381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7E16" w:rsidRPr="00E67454" w:rsidRDefault="00C560D0" w:rsidP="00E6745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092065" cy="5233035"/>
                <wp:effectExtent l="6985" t="15240" r="6350" b="952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065" cy="5233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BA" w:rsidRPr="00672522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E09BA" w:rsidRDefault="00EE6CD6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За целите на закона </w:t>
                            </w:r>
                            <w:r w:rsidR="00416A2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нвестиционно злато</w:t>
                            </w:r>
                            <w:r w:rsidR="009E09BA" w:rsidRPr="00CA7E16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е</w:t>
                            </w:r>
                            <w:r w:rsidR="009E09BA" w:rsidRPr="00CA7E1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E087C" w:rsidRDefault="003E087C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E09BA" w:rsidRDefault="00EE6CD6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злато под формата на кюлчета или плочки с тегла, приети от пазарите за злато, и с чистота, равна или по-голяма от 995 хилядни;</w:t>
                            </w:r>
                          </w:p>
                          <w:p w:rsidR="009E09BA" w:rsidRDefault="00EE6CD6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златни монети, 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включени по чл. 175, ал. 5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за които са налице едновременно следните условия:</w:t>
                            </w:r>
                          </w:p>
                          <w:p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а/ чистотата им е равна или по-голяма от 900 хилядни;</w:t>
                            </w:r>
                          </w:p>
                          <w:p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б/ изсечени са след 1800 г.;</w:t>
                            </w:r>
                          </w:p>
                          <w:p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в/ били са или са законно платежно средство в страната, от която произхождат;</w:t>
                            </w:r>
                          </w:p>
                          <w:p w:rsidR="009E09BA" w:rsidRDefault="009E09BA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г/ продават се обикновено на цена, която не надвишава стойността на златото по пазарни цени, съдържащо се в монетите повече от 80 на сто.</w:t>
                            </w:r>
                          </w:p>
                          <w:p w:rsidR="003E087C" w:rsidRPr="005A284D" w:rsidRDefault="003E087C" w:rsidP="005A284D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са златни монети, които не са включени в заповедта по чл. 175, ал. 5, но са включени в Списъка на златни монети, които отговарят на критериите, установени в член 344, параграф 1, точка 2 от Директива 2006/112/ЕО на Съвета от 28 ноември 2006 г. относно Общата система на данъка върху добавената стойност (специална схема за инвестиционно злато), публикуван до 1 декември на годината в серия "С" на "Официален вестник" на Европейския съюз, валиден за календарната година, следваща годината на публикуване; за инвестиционно злато се считат и всички емисии на монети, включени в този списък за годината, за която се отнася списъкът;</w:t>
                            </w:r>
                          </w:p>
                          <w:p w:rsidR="003E087C" w:rsidRPr="005A284D" w:rsidRDefault="003E087C" w:rsidP="005A284D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са златни монети, които не са включени в списъка по т. 3 или в заповедта по чл. 175, ал. 5, но за които с документ, издаден от управителя на Българската народна банка, е удостоверено, че са налице едновременно условията по т. 2 за инвестиционно злато</w:t>
                            </w:r>
                            <w:r w:rsidR="00433E1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(чл. 160а, ал. 1 от ЗДДС, нов – ДВ, бр</w:t>
                            </w:r>
                            <w:r w:rsidRPr="005A28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433E1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97 от 2017 г., в сила от 01.01.2018 г.).</w:t>
                            </w:r>
                          </w:p>
                          <w:p w:rsidR="003E087C" w:rsidRPr="006717AA" w:rsidRDefault="003E087C" w:rsidP="00B95A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8pt;margin-top:8.2pt;width:400.95pt;height:4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9E09BA" w:rsidRPr="00672522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9E09BA" w:rsidRDefault="00EE6CD6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За целите на закона </w:t>
                      </w:r>
                      <w:r w:rsidR="00416A2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нвестиционно злато</w:t>
                      </w:r>
                      <w:r w:rsidR="009E09BA" w:rsidRPr="00CA7E16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е</w:t>
                      </w:r>
                      <w:r w:rsidR="009E09BA" w:rsidRPr="00CA7E1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3E087C" w:rsidRDefault="003E087C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9E09BA" w:rsidRDefault="00EE6CD6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1.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злато под формата на кюлчета или плочки с тегла, приети от пазарите за злато, и с чистота, равна или по-голяма от 995 хилядни;</w:t>
                      </w:r>
                    </w:p>
                    <w:p w:rsidR="009E09BA" w:rsidRDefault="00EE6CD6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2.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златни монети, 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включени по чл. 175, ал. 5</w:t>
                      </w:r>
                      <w:r w:rsidR="009E09BA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, за които са налице едновременно следните условия:</w:t>
                      </w:r>
                    </w:p>
                    <w:p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а/ чистотата им е равна или по-голяма от 900 хилядни;</w:t>
                      </w:r>
                    </w:p>
                    <w:p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б/ изсечени са след 1800 г.;</w:t>
                      </w:r>
                    </w:p>
                    <w:p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в/ били са или са законно платежно средство в страната, от която произхождат;</w:t>
                      </w:r>
                    </w:p>
                    <w:p w:rsidR="009E09BA" w:rsidRDefault="009E09BA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ab/>
                        <w:t>г/ продават се обикновено на цена, която не надвишава стойността на златото по пазарни цени, съдържащо се в монетите повече от 80 на сто.</w:t>
                      </w:r>
                    </w:p>
                    <w:p w:rsidR="003E087C" w:rsidRPr="005A284D" w:rsidRDefault="003E087C" w:rsidP="005A284D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3. са златни монети, които не са включени в заповедта по чл. 175, ал. 5, но са включени в Списъка на златни монети, които отговарят на критериите, установени в член 344, параграф 1, точка 2 от Директива 2006/112/ЕО на Съвета от 28 ноември 2006 г. относно Общата система на данъка върху добавената стойност (специална схема за инвестиционно злато), публикуван до 1 декември на годината в серия "С" на "Официален вестник" на Европейския съюз, валиден за календарната година, следваща годината на публикуване; за инвестиционно злато се считат и всички емисии на монети, включени в този списък за годината, за която се отнася списъкът;</w:t>
                      </w:r>
                    </w:p>
                    <w:p w:rsidR="003E087C" w:rsidRPr="005A284D" w:rsidRDefault="003E087C" w:rsidP="005A284D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4. са златни монети, които не са включени в списъка по т. 3 или в заповедта по чл. 175, ал. 5, но за които с документ, издаден от управителя на Българската народна банка, е удостоверено, че са налице едновременно условията по т. 2 за инвестиционно злато</w:t>
                      </w:r>
                      <w:r w:rsidR="00433E1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(чл. 160а, ал. 1 от ЗДДС, нов – ДВ, бр</w:t>
                      </w:r>
                      <w:r w:rsidRPr="005A28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433E1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97 от 2017 г., в сила от 01.01.2018 г.).</w:t>
                      </w:r>
                    </w:p>
                    <w:p w:rsidR="003E087C" w:rsidRPr="006717AA" w:rsidRDefault="003E087C" w:rsidP="00B95ACB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7454" w:rsidRDefault="00E67454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CE650C" w:rsidRDefault="00CE650C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B4" w:rsidRDefault="00803CB4" w:rsidP="00945071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CB4" w:rsidRDefault="00803CB4" w:rsidP="00945071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CB4" w:rsidRPr="005A284D" w:rsidRDefault="00803CB4" w:rsidP="005A284D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8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Българската народна банка издава документа по ал. 1, т. 4 на лицето, заявило искане за удостоверяване на златни монети като инвестиционно злато, след предоставяне на информация за тези монети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Редът и необходимите документи за включване на златни монети в заповедта по чл. 175, ал. 5 се определят с </w:t>
      </w:r>
      <w:r w:rsidR="00C9250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 чл. 100а </w:t>
      </w:r>
      <w:r w:rsidR="00C92504" w:rsidRPr="005A284D">
        <w:rPr>
          <w:rFonts w:ascii="Times New Roman" w:hAnsi="Times New Roman" w:cs="Times New Roman"/>
          <w:color w:val="000000"/>
          <w:sz w:val="24"/>
          <w:szCs w:val="24"/>
        </w:rPr>
        <w:t>(Нов - ДВ, бр. 58 от 2018 г., в сила от 13.07.2018 г.)</w:t>
      </w:r>
      <w:r w:rsidR="00C92504">
        <w:rPr>
          <w:color w:val="000000"/>
          <w:lang w:val="en"/>
        </w:rPr>
        <w:t xml:space="preserve"> </w:t>
      </w:r>
      <w:r w:rsidR="00C9250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>правилника за прилагане на закона</w:t>
      </w:r>
      <w:r w:rsidR="002135F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чл. 160а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 xml:space="preserve">ал. 2 и 3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закона.</w:t>
      </w:r>
    </w:p>
    <w:p w:rsidR="003E087C" w:rsidRDefault="003E087C" w:rsidP="005A28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BDF" w:rsidRPr="00CE650C" w:rsidRDefault="00352BDF" w:rsidP="00352BD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ІІ. ДАНЪЧЕН РЕЖИМ</w:t>
      </w:r>
    </w:p>
    <w:p w:rsidR="00E0381D" w:rsidRDefault="00C560D0" w:rsidP="005A284D">
      <w:pPr>
        <w:spacing w:line="360" w:lineRule="auto"/>
        <w:ind w:right="-113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46355</wp:posOffset>
                </wp:positionV>
                <wp:extent cx="5460365" cy="2456180"/>
                <wp:effectExtent l="6985" t="6985" r="9525" b="1333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0365" cy="2456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BA" w:rsidRDefault="009E09BA" w:rsidP="008F3A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E09BA" w:rsidRDefault="00352BDF" w:rsidP="008F3A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Освободени доставки, свързани с инвестиционно злато, по силата на </w:t>
                            </w:r>
                            <w:r w:rsidR="005A284D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чл.</w:t>
                            </w:r>
                            <w:r w:rsidR="00EE6CD6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  <w:r w:rsidR="00452405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ал.</w:t>
                            </w:r>
                            <w:r w:rsidR="00EE6CD6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09BA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1 от ЗДДС са:</w:t>
                            </w:r>
                          </w:p>
                          <w:p w:rsidR="009E09BA" w:rsidRDefault="009E09BA" w:rsidP="008F3A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Доставки, свързани с инвестиционно злато, за целите на този закон са:</w:t>
                            </w:r>
                          </w:p>
                          <w:p w:rsidR="009E09BA" w:rsidRDefault="009E09BA" w:rsidP="008F3AA9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доставки на инвестиционно злато, включително: на инвестиционно злато, представено от сертификати за разпределено или неразпределено злато; злато което се търгува по сметки; заеми на злато и суапове, с право на собственост или иск по отношение на инвестиционно злато; доставки, засягащи инвестиционно злато с фючърсни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форуърдни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договори, водещи до прехвърляне правото на собственост или иск по отношение на инвестиционно злато;</w:t>
                            </w:r>
                          </w:p>
                          <w:p w:rsidR="009E09BA" w:rsidRPr="008F3AA9" w:rsidRDefault="009E09BA" w:rsidP="008F3AA9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услуги от агенти, които действат от името и за сметка на друг, във връзка с доставки на инвестиционно злато.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22.5pt;margin-top:3.65pt;width:429.95pt;height:1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9E09BA" w:rsidRDefault="009E09BA" w:rsidP="008F3AA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9E09BA" w:rsidRDefault="00352BDF" w:rsidP="008F3AA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Освободени доставки, свързани с инвестиционно злато, по силата на </w:t>
                      </w:r>
                      <w:r w:rsidR="005A284D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чл.</w:t>
                      </w:r>
                      <w:r w:rsidR="00EE6CD6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16</w:t>
                      </w:r>
                      <w:r w:rsidR="00452405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, ал.</w:t>
                      </w:r>
                      <w:r w:rsidR="00EE6CD6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E09BA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1 от ЗДДС са:</w:t>
                      </w:r>
                    </w:p>
                    <w:p w:rsidR="009E09BA" w:rsidRDefault="009E09BA" w:rsidP="008F3AA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Доставки, свързани с инвестиционно злато, за целите на този закон са:</w:t>
                      </w:r>
                    </w:p>
                    <w:p w:rsidR="009E09BA" w:rsidRDefault="009E09BA" w:rsidP="008F3AA9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доставки на инвестиционно злато, включително: на инвестиционно злато, представено от сертификати за разпределено или неразпределено злато; злато което се търгува по сметки; заеми на злато и суапове, с право на собственост или иск по отношение на инвестиционно злато; доставки, засягащи инвестиционно злато с фючърсни и форуърдни договори, водещи до прехвърляне правото на собственост или иск по отношение на инвестиционно злато;</w:t>
                      </w:r>
                    </w:p>
                    <w:p w:rsidR="009E09BA" w:rsidRPr="008F3AA9" w:rsidRDefault="009E09BA" w:rsidP="008F3AA9">
                      <w:pPr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услуги от агенти, които действат от името и за сметка на друг, във връзка с доставки на инвестиционно злато.</w:t>
                      </w:r>
                    </w:p>
                  </w:txbxContent>
                </v:textbox>
              </v:rect>
            </w:pict>
          </mc:Fallback>
        </mc:AlternateConten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ІІ. ДАНЪЧЕН РЕЖИМ</w:t>
      </w:r>
    </w:p>
    <w:p w:rsidR="0067027D" w:rsidRDefault="0067027D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</w:t>
      </w:r>
      <w:r w:rsidR="00653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b/>
          <w:sz w:val="24"/>
          <w:szCs w:val="24"/>
        </w:rPr>
        <w:t xml:space="preserve">Право на избор </w:t>
      </w:r>
      <w:r w:rsidRPr="00CE650C">
        <w:rPr>
          <w:rFonts w:ascii="Times New Roman" w:hAnsi="Times New Roman" w:cs="Times New Roman"/>
          <w:sz w:val="24"/>
          <w:szCs w:val="24"/>
        </w:rPr>
        <w:t>доставките по чл. 16</w:t>
      </w:r>
      <w:r w:rsidR="00A76208">
        <w:rPr>
          <w:rFonts w:ascii="Times New Roman" w:hAnsi="Times New Roman" w:cs="Times New Roman"/>
          <w:sz w:val="24"/>
          <w:szCs w:val="24"/>
        </w:rPr>
        <w:t>0</w:t>
      </w:r>
      <w:r w:rsidRPr="00CE650C">
        <w:rPr>
          <w:rFonts w:ascii="Times New Roman" w:hAnsi="Times New Roman" w:cs="Times New Roman"/>
          <w:sz w:val="24"/>
          <w:szCs w:val="24"/>
        </w:rPr>
        <w:t>, ал.</w:t>
      </w:r>
      <w:r w:rsidR="008468F4" w:rsidRP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>1 от ЗДДС да са облагаеми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2.1. Лица, които имат право на избор:</w:t>
      </w:r>
    </w:p>
    <w:p w:rsidR="00CE650C" w:rsidRPr="00CE650C" w:rsidRDefault="00E0381D" w:rsidP="00CE650C">
      <w:pPr>
        <w:numPr>
          <w:ilvl w:val="0"/>
          <w:numId w:val="21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 xml:space="preserve">данъчно задължени лица, които произвеждат инвестиционно злато или преработват злато в инвестиционно злато, както и данъчно задължени лица, които обикновено доставят злато за промишлени цели, </w:t>
      </w:r>
      <w:r w:rsidR="006535C0">
        <w:rPr>
          <w:rFonts w:ascii="Times New Roman" w:hAnsi="Times New Roman" w:cs="Times New Roman"/>
          <w:sz w:val="24"/>
          <w:szCs w:val="24"/>
        </w:rPr>
        <w:t xml:space="preserve">могат да изберат </w:t>
      </w:r>
      <w:r w:rsidRPr="00CE650C">
        <w:rPr>
          <w:rFonts w:ascii="Times New Roman" w:hAnsi="Times New Roman" w:cs="Times New Roman"/>
          <w:sz w:val="24"/>
          <w:szCs w:val="24"/>
        </w:rPr>
        <w:t>доставките по чл.</w:t>
      </w:r>
      <w:r w:rsidR="008468F4" w:rsidRP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 xml:space="preserve">160, ал. 1, т. 1 от ЗДДС </w:t>
      </w:r>
      <w:r w:rsidR="00CE650C">
        <w:rPr>
          <w:rFonts w:ascii="Times New Roman" w:hAnsi="Times New Roman" w:cs="Times New Roman"/>
          <w:sz w:val="24"/>
          <w:szCs w:val="24"/>
        </w:rPr>
        <w:t>да бъдат облагаеми;</w:t>
      </w:r>
      <w:r w:rsidRPr="00CE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0C" w:rsidRPr="00CE650C" w:rsidRDefault="00E0381D" w:rsidP="00CE650C">
      <w:pPr>
        <w:numPr>
          <w:ilvl w:val="0"/>
          <w:numId w:val="21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данъчно задължените лица, които извършват посреднически услуги по доставки на инвестиционно злато, могат да изберат доставките по чл. 160, ал. 1, т. 2 от ЗДДС да бъдат облагаеми, когато доставката, във връзка с която е оказана посредническата услуга, е облагаема.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2.2. Условия, при които е налице право на избор:</w:t>
      </w:r>
    </w:p>
    <w:p w:rsidR="00CE650C" w:rsidRPr="00CE650C" w:rsidRDefault="00E0381D" w:rsidP="005A284D">
      <w:pPr>
        <w:numPr>
          <w:ilvl w:val="0"/>
          <w:numId w:val="22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lastRenderedPageBreak/>
        <w:t>получател по доставките е регистрирано по ЗДДС лице и</w:t>
      </w:r>
    </w:p>
    <w:p w:rsidR="00CE650C" w:rsidRPr="00CE650C" w:rsidRDefault="00E0381D" w:rsidP="005A284D">
      <w:pPr>
        <w:numPr>
          <w:ilvl w:val="0"/>
          <w:numId w:val="22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в издадената фактура е посочено, че данъкът ще бъде начислен от получателя.</w:t>
      </w:r>
    </w:p>
    <w:p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2.3. Упражняване правото на избор: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left" w:pos="108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чрез  включване  в издадения от доставчика данъчен документ за доставката текста "За тази доставка се прилага чл. 160, ал. 2 от закона и съгласно чл. 161, ал. 1, т. 2</w:t>
      </w:r>
      <w:r w:rsid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>ЗДДС данъкът ще бъде начислен от получателя в размер ...... (посочва се размерът на ДДС)." В тези случаи данъкът се начислява от получателя по доставката - регистрирано по закона лице.</w:t>
      </w:r>
    </w:p>
    <w:p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3</w:t>
      </w:r>
      <w:r w:rsidRPr="00CE650C">
        <w:rPr>
          <w:rFonts w:ascii="Times New Roman" w:hAnsi="Times New Roman" w:cs="Times New Roman"/>
          <w:sz w:val="24"/>
          <w:szCs w:val="24"/>
        </w:rPr>
        <w:t xml:space="preserve">. </w:t>
      </w:r>
      <w:r w:rsidRPr="00CE650C">
        <w:rPr>
          <w:rFonts w:ascii="Times New Roman" w:hAnsi="Times New Roman" w:cs="Times New Roman"/>
          <w:b/>
          <w:sz w:val="24"/>
          <w:szCs w:val="24"/>
        </w:rPr>
        <w:t xml:space="preserve">Начисляване на данъка от получателя – </w:t>
      </w:r>
      <w:r w:rsidRPr="00CE650C">
        <w:rPr>
          <w:rFonts w:ascii="Times New Roman" w:hAnsi="Times New Roman" w:cs="Times New Roman"/>
          <w:sz w:val="24"/>
          <w:szCs w:val="24"/>
        </w:rPr>
        <w:t>с протокол, при: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1. доставки на златни материали или полуготови продукти с чистота 325 хилядни или повече. В тези случаи доставчикът посочва в издадения данъчен документ за доставката текста: "За тази доставка на основание чл. 161, ал. 1, т. 1 ЗДДС получателят следва да начисли ДДС в размер ..</w:t>
      </w:r>
      <w:r w:rsidR="00CE650C" w:rsidRPr="00CE650C">
        <w:rPr>
          <w:rFonts w:ascii="Times New Roman" w:hAnsi="Times New Roman" w:cs="Times New Roman"/>
          <w:sz w:val="24"/>
          <w:szCs w:val="24"/>
        </w:rPr>
        <w:t>.(посочва се размерът на ДДС)."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2. доставки, свързани с инвестиционно злато, за които е упражнено правото на избор доставката да бъде облагаема и във фактурата е посочено, че данъкът ще бъде начислен от получателя.</w:t>
      </w:r>
    </w:p>
    <w:p w:rsid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 xml:space="preserve">В тези случаите данъкът се начислява от получателя чрез издаване на протокол по </w:t>
      </w:r>
      <w:r w:rsidR="00F3702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452405">
        <w:rPr>
          <w:rFonts w:ascii="Times New Roman" w:hAnsi="Times New Roman" w:cs="Times New Roman"/>
          <w:sz w:val="24"/>
          <w:szCs w:val="24"/>
        </w:rPr>
        <w:t xml:space="preserve">   </w:t>
      </w:r>
      <w:r w:rsidRPr="00CE650C">
        <w:rPr>
          <w:rFonts w:ascii="Times New Roman" w:hAnsi="Times New Roman" w:cs="Times New Roman"/>
          <w:sz w:val="24"/>
          <w:szCs w:val="24"/>
        </w:rPr>
        <w:t xml:space="preserve">чл. 117, ал. 2 от закона. Протоколът се издава в </w:t>
      </w:r>
      <w:r w:rsidR="006535C0">
        <w:rPr>
          <w:rFonts w:ascii="Times New Roman" w:hAnsi="Times New Roman" w:cs="Times New Roman"/>
          <w:sz w:val="24"/>
          <w:szCs w:val="24"/>
        </w:rPr>
        <w:t>15</w:t>
      </w:r>
      <w:r w:rsidRPr="00CE650C">
        <w:rPr>
          <w:rFonts w:ascii="Times New Roman" w:hAnsi="Times New Roman" w:cs="Times New Roman"/>
          <w:sz w:val="24"/>
          <w:szCs w:val="24"/>
        </w:rPr>
        <w:t xml:space="preserve">-дневен срок, считано от датата, на която данъкът за доставката е станал изискуем. В случаите на изменение на данъчната основа за доставката изменението се документира от получателя чрез издаване на протокол по чл. 117, ал. 4 от закона. Протоколите се отразяват в дневника за продажбите за съответния данъчен период. </w:t>
      </w:r>
    </w:p>
    <w:p w:rsidR="008F3AA9" w:rsidRPr="00CE650C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4.</w:t>
      </w:r>
      <w:r w:rsidRPr="00CE650C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b/>
          <w:sz w:val="24"/>
          <w:szCs w:val="24"/>
        </w:rPr>
        <w:t>Право на данъчен кредит</w:t>
      </w:r>
      <w:r w:rsidRPr="00CE650C">
        <w:rPr>
          <w:rFonts w:ascii="Times New Roman" w:hAnsi="Times New Roman" w:cs="Times New Roman"/>
          <w:sz w:val="24"/>
          <w:szCs w:val="24"/>
        </w:rPr>
        <w:t>: независимо, че последващата доставка е освободена, регистрираните лица имат право на данъчен кредит за: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1. начисления от тях данък като получатели;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2. получената доставка или вноса на злато, различно от инвестиционно злато, което после е преработено от лицето или за негова сметка в инвестиционно злато;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lastRenderedPageBreak/>
        <w:t>3. получените услуги, водещи до промяна на формата, теглото или чистотата на златото, включително на инвестиционно злато.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4. доставките или вноса на територията на страната на стоки и услуги, свързани с производството или преработката – за регистрирани лица, които произвеждат инвестиционно злато или преработват злато в инвестиционно такова.</w:t>
      </w:r>
    </w:p>
    <w:p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 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Документиране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.1.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 С 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фактура</w:t>
      </w:r>
      <w:r w:rsidR="00E0381D" w:rsidRPr="00CE650C">
        <w:rPr>
          <w:rFonts w:ascii="Times New Roman" w:hAnsi="Times New Roman" w:cs="Times New Roman"/>
          <w:sz w:val="24"/>
          <w:szCs w:val="24"/>
        </w:rPr>
        <w:t>, която освен задължителните реквизити трябва да съдържа: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описание на златото – най-малко форма, тегло, чистота и други;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дата и адрес на физическата доставка на златото;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име, адрес, ЕГН и/или вид, номер, издател на официален документ за самоличност на лицата, съставители на документа.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Фактурите се съхраняват за срок 10 години, считано от края на годината, през която е извършена съответната доставка.</w:t>
      </w:r>
    </w:p>
    <w:p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.2. Отчет за извършените продажби</w:t>
      </w:r>
    </w:p>
    <w:p w:rsidR="00CE650C" w:rsidRPr="00CE650C" w:rsidRDefault="00A42EE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тези доставки </w:t>
      </w:r>
      <w:r w:rsidRPr="00A42EE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по глава деветнадесета от ЗДДС</w:t>
      </w:r>
      <w:r w:rsidRPr="00A42E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0381D" w:rsidRPr="00CE650C">
        <w:rPr>
          <w:rFonts w:ascii="Times New Roman" w:hAnsi="Times New Roman" w:cs="Times New Roman"/>
          <w:sz w:val="24"/>
          <w:szCs w:val="24"/>
        </w:rPr>
        <w:t>, доставчикът - регистрирано по този закон лице, съставя отчет за извършените продажби през данъчния период, който съдържа най-малко следната информация: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количество и вид на стоката за всяка конкретна доставка или вида на услугата;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датата, на която е възникнало данъчното събитие за доставката;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описание на издадените фактури за доставката, когато издаването им е задължително;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елементите, необходими за определяне на данъчната основа;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данъчната основа;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ставката на данъка;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размера на данъка.</w:t>
      </w:r>
    </w:p>
    <w:p w:rsidR="00E0381D" w:rsidRPr="00CE650C" w:rsidRDefault="00E0381D" w:rsidP="00352BD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Отчетът за извършените продажби се съставя най-късно в последния ден на данъчния период. Отчетът за извършените продажби не се включва в дневника за продажбите.</w:t>
      </w:r>
    </w:p>
    <w:sectPr w:rsidR="00E0381D" w:rsidRPr="00CE650C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CE" w:rsidRDefault="007750CE">
      <w:r>
        <w:separator/>
      </w:r>
    </w:p>
  </w:endnote>
  <w:endnote w:type="continuationSeparator" w:id="0">
    <w:p w:rsidR="007750CE" w:rsidRDefault="007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BA" w:rsidRDefault="009E09B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9BA" w:rsidRDefault="009E09B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BA" w:rsidRPr="0045041B" w:rsidRDefault="009E09B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4F1CA6">
      <w:rPr>
        <w:rFonts w:ascii="Times New Roman" w:hAnsi="Times New Roman" w:cs="Times New Roman"/>
        <w:color w:val="003366"/>
      </w:rPr>
      <w:t>НАРЪЧНИК ПО ДДС, 20</w:t>
    </w:r>
    <w:r w:rsidR="00742575">
      <w:rPr>
        <w:rFonts w:ascii="Times New Roman" w:hAnsi="Times New Roman" w:cs="Times New Roman"/>
        <w:color w:val="003366"/>
      </w:rPr>
      <w:t>1</w:t>
    </w:r>
    <w:r w:rsidR="00433E1D">
      <w:rPr>
        <w:rFonts w:ascii="Times New Roman" w:hAnsi="Times New Roman" w:cs="Times New Roman"/>
        <w:color w:val="003366"/>
      </w:rPr>
      <w:t>9</w:t>
    </w:r>
  </w:p>
  <w:p w:rsidR="009E09BA" w:rsidRPr="00824EE9" w:rsidRDefault="009E09B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CE" w:rsidRDefault="007750CE">
      <w:r>
        <w:separator/>
      </w:r>
    </w:p>
  </w:footnote>
  <w:footnote w:type="continuationSeparator" w:id="0">
    <w:p w:rsidR="007750CE" w:rsidRDefault="0077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9E09BA">
      <w:trPr>
        <w:cantSplit/>
        <w:trHeight w:val="725"/>
      </w:trPr>
      <w:tc>
        <w:tcPr>
          <w:tcW w:w="2340" w:type="dxa"/>
          <w:vMerge w:val="restart"/>
        </w:tcPr>
        <w:p w:rsidR="009E09BA" w:rsidRPr="00554FAB" w:rsidRDefault="009E09B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9E09BA" w:rsidRDefault="009E09B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C560D0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9E09BA" w:rsidRPr="00FB06A8" w:rsidRDefault="009E09B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X.1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1</w:t>
          </w:r>
        </w:p>
      </w:tc>
    </w:tr>
    <w:tr w:rsidR="009E09BA">
      <w:trPr>
        <w:cantSplit/>
        <w:trHeight w:val="692"/>
      </w:trPr>
      <w:tc>
        <w:tcPr>
          <w:tcW w:w="2340" w:type="dxa"/>
          <w:vMerge/>
        </w:tcPr>
        <w:p w:rsidR="009E09BA" w:rsidRDefault="009E09B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9E09BA" w:rsidRDefault="009E09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9E09BA" w:rsidRPr="00B4502D" w:rsidRDefault="009E09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инвестиционно злато</w:t>
          </w:r>
        </w:p>
        <w:p w:rsidR="009E09BA" w:rsidRPr="00AD598A" w:rsidRDefault="009E09B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9E09BA" w:rsidRDefault="009E09BA" w:rsidP="00886AD9">
    <w:pPr>
      <w:jc w:val="center"/>
    </w:pPr>
  </w:p>
  <w:p w:rsidR="009E09BA" w:rsidRDefault="009E09BA">
    <w:pPr>
      <w:pStyle w:val="Header"/>
      <w:tabs>
        <w:tab w:val="clear" w:pos="4320"/>
        <w:tab w:val="clear" w:pos="8640"/>
      </w:tabs>
    </w:pPr>
  </w:p>
  <w:p w:rsidR="009E09BA" w:rsidRDefault="009E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2449"/>
    <w:multiLevelType w:val="hybridMultilevel"/>
    <w:tmpl w:val="612A1F70"/>
    <w:lvl w:ilvl="0" w:tplc="8290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1C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E32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566B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D2C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12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2A6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C64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88C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6" w15:restartNumberingAfterBreak="0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1"/>
  </w:num>
  <w:num w:numId="5">
    <w:abstractNumId w:val="2"/>
  </w:num>
  <w:num w:numId="6">
    <w:abstractNumId w:val="24"/>
  </w:num>
  <w:num w:numId="7">
    <w:abstractNumId w:val="10"/>
  </w:num>
  <w:num w:numId="8">
    <w:abstractNumId w:val="18"/>
  </w:num>
  <w:num w:numId="9">
    <w:abstractNumId w:val="20"/>
  </w:num>
  <w:num w:numId="10">
    <w:abstractNumId w:val="22"/>
  </w:num>
  <w:num w:numId="11">
    <w:abstractNumId w:val="13"/>
  </w:num>
  <w:num w:numId="12">
    <w:abstractNumId w:val="14"/>
  </w:num>
  <w:num w:numId="13">
    <w:abstractNumId w:val="23"/>
  </w:num>
  <w:num w:numId="14">
    <w:abstractNumId w:val="11"/>
  </w:num>
  <w:num w:numId="15">
    <w:abstractNumId w:val="8"/>
  </w:num>
  <w:num w:numId="16">
    <w:abstractNumId w:val="15"/>
  </w:num>
  <w:num w:numId="17">
    <w:abstractNumId w:val="19"/>
  </w:num>
  <w:num w:numId="18">
    <w:abstractNumId w:val="16"/>
  </w:num>
  <w:num w:numId="19">
    <w:abstractNumId w:val="7"/>
  </w:num>
  <w:num w:numId="20">
    <w:abstractNumId w:val="25"/>
  </w:num>
  <w:num w:numId="21">
    <w:abstractNumId w:val="3"/>
  </w:num>
  <w:num w:numId="22">
    <w:abstractNumId w:val="9"/>
  </w:num>
  <w:num w:numId="23">
    <w:abstractNumId w:val="17"/>
  </w:num>
  <w:num w:numId="24">
    <w:abstractNumId w:val="6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53B6D"/>
    <w:rsid w:val="00055D4F"/>
    <w:rsid w:val="00065739"/>
    <w:rsid w:val="00077487"/>
    <w:rsid w:val="00093A9E"/>
    <w:rsid w:val="00095DA7"/>
    <w:rsid w:val="000B7DC5"/>
    <w:rsid w:val="000C4007"/>
    <w:rsid w:val="000D082D"/>
    <w:rsid w:val="000D2286"/>
    <w:rsid w:val="000D5F15"/>
    <w:rsid w:val="001057AD"/>
    <w:rsid w:val="001144F9"/>
    <w:rsid w:val="00125A67"/>
    <w:rsid w:val="00146264"/>
    <w:rsid w:val="00152E2A"/>
    <w:rsid w:val="001713CF"/>
    <w:rsid w:val="00191151"/>
    <w:rsid w:val="001A771E"/>
    <w:rsid w:val="001D0842"/>
    <w:rsid w:val="001D3C33"/>
    <w:rsid w:val="001F4540"/>
    <w:rsid w:val="001F70E1"/>
    <w:rsid w:val="002135F4"/>
    <w:rsid w:val="00230D4D"/>
    <w:rsid w:val="00235D79"/>
    <w:rsid w:val="002764CC"/>
    <w:rsid w:val="002B5A4F"/>
    <w:rsid w:val="002C563F"/>
    <w:rsid w:val="002C5E0D"/>
    <w:rsid w:val="002E28ED"/>
    <w:rsid w:val="002E6F35"/>
    <w:rsid w:val="00320D02"/>
    <w:rsid w:val="00345EF1"/>
    <w:rsid w:val="00352BDF"/>
    <w:rsid w:val="00361C1D"/>
    <w:rsid w:val="00365CDF"/>
    <w:rsid w:val="003953F7"/>
    <w:rsid w:val="003B4798"/>
    <w:rsid w:val="003E087C"/>
    <w:rsid w:val="00410BA3"/>
    <w:rsid w:val="00416A27"/>
    <w:rsid w:val="004232E0"/>
    <w:rsid w:val="00433E1D"/>
    <w:rsid w:val="00442EFA"/>
    <w:rsid w:val="0045041B"/>
    <w:rsid w:val="00452405"/>
    <w:rsid w:val="00454197"/>
    <w:rsid w:val="004651C8"/>
    <w:rsid w:val="004F1CA6"/>
    <w:rsid w:val="00554FAB"/>
    <w:rsid w:val="00557460"/>
    <w:rsid w:val="0055768E"/>
    <w:rsid w:val="005610B4"/>
    <w:rsid w:val="00576444"/>
    <w:rsid w:val="00583A02"/>
    <w:rsid w:val="00583DB2"/>
    <w:rsid w:val="005A284D"/>
    <w:rsid w:val="006505C7"/>
    <w:rsid w:val="006535C0"/>
    <w:rsid w:val="00656C62"/>
    <w:rsid w:val="006575F9"/>
    <w:rsid w:val="0066630A"/>
    <w:rsid w:val="0067027D"/>
    <w:rsid w:val="006717AA"/>
    <w:rsid w:val="00672522"/>
    <w:rsid w:val="00673E7D"/>
    <w:rsid w:val="006A1625"/>
    <w:rsid w:val="006A2272"/>
    <w:rsid w:val="006C1F92"/>
    <w:rsid w:val="006E7F44"/>
    <w:rsid w:val="00706453"/>
    <w:rsid w:val="00742575"/>
    <w:rsid w:val="00744F0A"/>
    <w:rsid w:val="007638BD"/>
    <w:rsid w:val="007750CE"/>
    <w:rsid w:val="00776AC1"/>
    <w:rsid w:val="00787FEC"/>
    <w:rsid w:val="007A7F48"/>
    <w:rsid w:val="007C3AD4"/>
    <w:rsid w:val="007C5D55"/>
    <w:rsid w:val="008019B4"/>
    <w:rsid w:val="00803CB4"/>
    <w:rsid w:val="00821A27"/>
    <w:rsid w:val="00823208"/>
    <w:rsid w:val="00824EE9"/>
    <w:rsid w:val="00844889"/>
    <w:rsid w:val="008468F4"/>
    <w:rsid w:val="008708C2"/>
    <w:rsid w:val="00871FA3"/>
    <w:rsid w:val="00884E00"/>
    <w:rsid w:val="00886AD9"/>
    <w:rsid w:val="008B3F79"/>
    <w:rsid w:val="008B54D6"/>
    <w:rsid w:val="008B7BF4"/>
    <w:rsid w:val="008D2CCD"/>
    <w:rsid w:val="008F3AA9"/>
    <w:rsid w:val="008F582E"/>
    <w:rsid w:val="008F60A1"/>
    <w:rsid w:val="0090465F"/>
    <w:rsid w:val="0094376E"/>
    <w:rsid w:val="00945071"/>
    <w:rsid w:val="009537D1"/>
    <w:rsid w:val="00957A85"/>
    <w:rsid w:val="0096374B"/>
    <w:rsid w:val="009672E3"/>
    <w:rsid w:val="00970036"/>
    <w:rsid w:val="00993E62"/>
    <w:rsid w:val="009951BF"/>
    <w:rsid w:val="009D598B"/>
    <w:rsid w:val="009E09BA"/>
    <w:rsid w:val="009E5AEA"/>
    <w:rsid w:val="00A0074E"/>
    <w:rsid w:val="00A11873"/>
    <w:rsid w:val="00A17902"/>
    <w:rsid w:val="00A179A3"/>
    <w:rsid w:val="00A42EEB"/>
    <w:rsid w:val="00A724A3"/>
    <w:rsid w:val="00A76208"/>
    <w:rsid w:val="00A829E6"/>
    <w:rsid w:val="00A87B04"/>
    <w:rsid w:val="00AA6563"/>
    <w:rsid w:val="00AB62D2"/>
    <w:rsid w:val="00AC3CBC"/>
    <w:rsid w:val="00AC5DFA"/>
    <w:rsid w:val="00AD598A"/>
    <w:rsid w:val="00AE33D7"/>
    <w:rsid w:val="00B10066"/>
    <w:rsid w:val="00B307F6"/>
    <w:rsid w:val="00B330A3"/>
    <w:rsid w:val="00B4346A"/>
    <w:rsid w:val="00B4502D"/>
    <w:rsid w:val="00B45BE0"/>
    <w:rsid w:val="00B50488"/>
    <w:rsid w:val="00B7797D"/>
    <w:rsid w:val="00B95ACB"/>
    <w:rsid w:val="00BB51BF"/>
    <w:rsid w:val="00BB74BB"/>
    <w:rsid w:val="00BF183A"/>
    <w:rsid w:val="00C10EDA"/>
    <w:rsid w:val="00C12C9D"/>
    <w:rsid w:val="00C336FA"/>
    <w:rsid w:val="00C560D0"/>
    <w:rsid w:val="00C92504"/>
    <w:rsid w:val="00C94737"/>
    <w:rsid w:val="00CA7E16"/>
    <w:rsid w:val="00CD2F9F"/>
    <w:rsid w:val="00CE01D9"/>
    <w:rsid w:val="00CE3275"/>
    <w:rsid w:val="00CE650C"/>
    <w:rsid w:val="00CF5F1B"/>
    <w:rsid w:val="00D00288"/>
    <w:rsid w:val="00D15282"/>
    <w:rsid w:val="00D174C6"/>
    <w:rsid w:val="00D17B56"/>
    <w:rsid w:val="00D27FDB"/>
    <w:rsid w:val="00D3400C"/>
    <w:rsid w:val="00D428C5"/>
    <w:rsid w:val="00D52547"/>
    <w:rsid w:val="00D62A98"/>
    <w:rsid w:val="00D71354"/>
    <w:rsid w:val="00D7217D"/>
    <w:rsid w:val="00DB7B31"/>
    <w:rsid w:val="00DD25AE"/>
    <w:rsid w:val="00DD6716"/>
    <w:rsid w:val="00DD7A89"/>
    <w:rsid w:val="00DE0292"/>
    <w:rsid w:val="00E0381D"/>
    <w:rsid w:val="00E27959"/>
    <w:rsid w:val="00E32BE7"/>
    <w:rsid w:val="00E53381"/>
    <w:rsid w:val="00E67294"/>
    <w:rsid w:val="00E67454"/>
    <w:rsid w:val="00E76029"/>
    <w:rsid w:val="00E76038"/>
    <w:rsid w:val="00E851B2"/>
    <w:rsid w:val="00E8714D"/>
    <w:rsid w:val="00EE6CD6"/>
    <w:rsid w:val="00F22549"/>
    <w:rsid w:val="00F33569"/>
    <w:rsid w:val="00F37023"/>
    <w:rsid w:val="00F47EE7"/>
    <w:rsid w:val="00F56448"/>
    <w:rsid w:val="00F71BC8"/>
    <w:rsid w:val="00FB06A8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2F30E96F"/>
  <w15:chartTrackingRefBased/>
  <w15:docId w15:val="{8281DBE5-0BDC-4854-9CBD-40AA27B9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CE0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1D9"/>
    <w:rPr>
      <w:rFonts w:ascii="Segoe UI" w:hAnsi="Segoe UI" w:cs="Segoe UI"/>
      <w:sz w:val="18"/>
      <w:szCs w:val="18"/>
    </w:rPr>
  </w:style>
  <w:style w:type="character" w:customStyle="1" w:styleId="samedocreference1">
    <w:name w:val="samedocreference1"/>
    <w:rsid w:val="003E087C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3E087C"/>
    <w:rPr>
      <w:i w:val="0"/>
      <w:iCs w:val="0"/>
      <w:color w:val="0000FF"/>
      <w:u w:val="single"/>
    </w:rPr>
  </w:style>
  <w:style w:type="character" w:styleId="CommentReference">
    <w:name w:val="annotation reference"/>
    <w:rsid w:val="00416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A27"/>
  </w:style>
  <w:style w:type="character" w:customStyle="1" w:styleId="CommentTextChar">
    <w:name w:val="Comment Text Char"/>
    <w:link w:val="CommentText"/>
    <w:rsid w:val="00416A27"/>
    <w:rPr>
      <w:rFonts w:ascii="A4U" w:hAnsi="A4U" w:cs="A4U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16A27"/>
    <w:rPr>
      <w:b/>
      <w:bCs/>
    </w:rPr>
  </w:style>
  <w:style w:type="character" w:customStyle="1" w:styleId="CommentSubjectChar">
    <w:name w:val="Comment Subject Char"/>
    <w:link w:val="CommentSubject"/>
    <w:rsid w:val="00416A27"/>
    <w:rPr>
      <w:rFonts w:ascii="A4U" w:hAnsi="A4U" w:cs="A4U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69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52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A50C-5D18-4142-865C-2FC6883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4</cp:revision>
  <cp:lastPrinted>2011-05-12T14:49:00Z</cp:lastPrinted>
  <dcterms:created xsi:type="dcterms:W3CDTF">2019-04-02T12:13:00Z</dcterms:created>
  <dcterms:modified xsi:type="dcterms:W3CDTF">2019-05-07T08:47:00Z</dcterms:modified>
</cp:coreProperties>
</file>