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204B" w14:textId="77777777" w:rsidR="0096115E" w:rsidRPr="006C7028" w:rsidRDefault="002279A7" w:rsidP="009D1A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9D1A37" w:rsidRPr="006C7028" w14:paraId="160AE49F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7BE8BC7" w14:textId="77777777" w:rsidR="0017250D" w:rsidRPr="006C7028" w:rsidRDefault="0017250D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Доставка, свързана със здравеопазване</w:t>
            </w:r>
          </w:p>
          <w:p w14:paraId="5405236A" w14:textId="77777777" w:rsidR="009D1A37" w:rsidRPr="006C7028" w:rsidRDefault="0017250D" w:rsidP="00776B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39 от ЗДДС</w:t>
            </w:r>
          </w:p>
          <w:p w14:paraId="642C7658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4E9D5" w14:textId="77777777" w:rsidR="009D1A37" w:rsidRPr="006C7028" w:rsidRDefault="009D1A37" w:rsidP="009D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5E61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14:paraId="47708C73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1A8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(изм. - ДВ, бр. 94 от 2010 г., в сила от 01.01.2011 г.)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Здравни и медицински услуги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пряко свързаните с тях, оказвани от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здравни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заведения </w:t>
            </w:r>
            <w:r w:rsidR="00C521A8"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детски ясли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по Закона за здравето и от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лечебни заведения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 Закона за лечебните заведения</w:t>
            </w:r>
          </w:p>
          <w:p w14:paraId="43C8F01E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чл.</w:t>
            </w:r>
            <w:r w:rsidR="004B1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от Закона за здравето,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здравните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структури на националната система за здравеопазване, в които медицински и немедицински специалисти осъществяват дейности по опазване и укрепване здравето на гражданите.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Здравни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са:</w:t>
            </w:r>
          </w:p>
          <w:p w14:paraId="0EB08EA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националните центрове по проблемите на общественото здраве;</w:t>
            </w:r>
          </w:p>
          <w:p w14:paraId="265DA21E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Националната експертна лекарска комисия (НЕЛК);</w:t>
            </w:r>
          </w:p>
          <w:p w14:paraId="71211FA1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здравните кабинети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създадени в: детските градини и училищата; домовете за отглеждане и възпитание на деца, лишени от родителски грижи към МОН; домове за деца и младежи с увреждания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домове за възрастни хора с увреждания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социалните учебно-професионални заведения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домове за стари хора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приюти и </w:t>
            </w:r>
            <w:r w:rsidR="00F94C90" w:rsidRPr="00F94C90">
              <w:rPr>
                <w:rFonts w:ascii="Times New Roman" w:hAnsi="Times New Roman" w:cs="Times New Roman"/>
                <w:i/>
                <w:sz w:val="24"/>
                <w:szCs w:val="24"/>
              </w:rPr>
              <w:t>центрове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временно настаняване.</w:t>
            </w:r>
          </w:p>
          <w:p w14:paraId="1EC74F50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оптиките</w:t>
            </w:r>
            <w:proofErr w:type="spellEnd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F3A723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Аптеките са здравни заведения със статут и дейност, определени със Закона за лекарствата и аптеките в хуманната медицина.</w:t>
            </w:r>
          </w:p>
          <w:p w14:paraId="603CDD75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освободена доставка на услуга е измерване на кръвно налягане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извършвано от специалист в аптека или очни прегледи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извършвани от офталмолог  в оптика.</w:t>
            </w:r>
          </w:p>
          <w:p w14:paraId="1A08A8CC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чл.</w:t>
            </w:r>
            <w:r w:rsidR="00227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от Закона за лечебните заведения,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лечебни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организационно обособени структури на функционален принцип, в които лекари или лекари по</w:t>
            </w:r>
            <w:r w:rsidR="00EC193A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дентална медицина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самостоятелно или с помощта на други медицински и немедицински специалисти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осъществяват всички или някои от следните дей</w:t>
            </w:r>
            <w:r w:rsidR="00C521A8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ности:</w:t>
            </w:r>
          </w:p>
          <w:p w14:paraId="5940650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диагностика, лечение и рехабилитация на болни;</w:t>
            </w:r>
          </w:p>
          <w:p w14:paraId="1670FCB0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наблюдение на бременни жени и оказване на родилна помощ;</w:t>
            </w:r>
          </w:p>
          <w:p w14:paraId="079AAD6E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наблюдение на хронично болни и застрашени от заболяване лица;</w:t>
            </w:r>
          </w:p>
          <w:p w14:paraId="53FBFEFF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профилактика на болести и ранно откриване на заболявания;</w:t>
            </w:r>
          </w:p>
          <w:p w14:paraId="057252A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мерки за укрепване и опазване на здравето;</w:t>
            </w:r>
          </w:p>
          <w:p w14:paraId="0DD9BE97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трансплантация на органи, тъкани и клетки.</w:t>
            </w:r>
          </w:p>
          <w:p w14:paraId="75716C3C" w14:textId="77777777" w:rsidR="004005F6" w:rsidRPr="006C7028" w:rsidRDefault="00F16AFF" w:rsidP="006C7028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05F6" w:rsidRPr="006C70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05F6" w:rsidRPr="006C7028">
              <w:rPr>
                <w:rFonts w:ascii="Times New Roman" w:hAnsi="Times New Roman" w:cs="Times New Roman"/>
                <w:sz w:val="24"/>
                <w:szCs w:val="24"/>
              </w:rPr>
              <w:t>Доставки на: човешки органи, тъкани и клетки, кръв, кръвни съставки и кърма;</w:t>
            </w:r>
          </w:p>
          <w:p w14:paraId="1B5241A5" w14:textId="0C7E8A53" w:rsidR="00613850" w:rsidRPr="006C7028" w:rsidRDefault="00F16AFF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7171">
              <w:rPr>
                <w:rFonts w:ascii="Times New Roman" w:hAnsi="Times New Roman" w:cs="Times New Roman"/>
                <w:sz w:val="24"/>
                <w:szCs w:val="24"/>
              </w:rPr>
              <w:t>Доставката на п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ротези, както и услугите по тяхното предоставяне на хора с увреждания, когато са част от здравна услуга по смисъла на т.</w:t>
            </w:r>
            <w:r w:rsidR="004005F6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Протези са</w:t>
            </w:r>
            <w:r w:rsidR="00D05B48">
              <w:t xml:space="preserve"> </w:t>
            </w:r>
            <w:r w:rsidR="00D05B48" w:rsidRPr="00D05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48">
              <w:rPr>
                <w:rFonts w:ascii="Times New Roman" w:hAnsi="Times New Roman" w:cs="Times New Roman"/>
                <w:sz w:val="24"/>
                <w:szCs w:val="24"/>
              </w:rPr>
              <w:t>чл. 41 от ППЗДДС, и</w:t>
            </w:r>
            <w:r w:rsidR="00D05B48" w:rsidRPr="00D05B48">
              <w:rPr>
                <w:rFonts w:ascii="Times New Roman" w:hAnsi="Times New Roman" w:cs="Times New Roman"/>
                <w:sz w:val="24"/>
                <w:szCs w:val="24"/>
              </w:rPr>
              <w:t>зм. - ДВ, бр. 25 от 2020 г., в сила от 20.03.2020 г.)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протезите по смисъла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Правилника за прилагане на </w:t>
            </w:r>
            <w:r w:rsidR="004B173E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акона за хората с увреждания</w:t>
            </w:r>
            <w:r w:rsidR="00DD7B85" w:rsidRPr="00DD7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приет с Постановление № 65 на Министерския съвет от 2019 г. (ДВ, бр. 27 от 2019 г.)</w:t>
            </w:r>
            <w:r w:rsidR="00DD7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това са: протези за долни(горни) крайници, включително с електронно устройство</w:t>
            </w:r>
            <w:r w:rsidR="00443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662" w:rsidRPr="00443662">
              <w:rPr>
                <w:rFonts w:ascii="Times New Roman" w:hAnsi="Times New Roman" w:cs="Times New Roman"/>
                <w:sz w:val="24"/>
                <w:szCs w:val="24"/>
              </w:rPr>
              <w:t>изработени по поръчка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; очни протези; протези за нос и уши. </w:t>
            </w:r>
          </w:p>
          <w:p w14:paraId="3DAD168E" w14:textId="77777777" w:rsidR="006901B5" w:rsidRPr="00DB47FA" w:rsidRDefault="00613850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Доставката на </w:t>
            </w:r>
            <w:proofErr w:type="spellStart"/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имплантируеми</w:t>
            </w:r>
            <w:proofErr w:type="spellEnd"/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 изделия, за</w:t>
            </w:r>
            <w:r w:rsidR="008B54C8" w:rsidRPr="006C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вижвани с енергия, генерирана в човешкото тяло, или от земното притегляне, както и активно </w:t>
            </w:r>
            <w:proofErr w:type="spellStart"/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имплантируеми</w:t>
            </w:r>
            <w:proofErr w:type="spellEnd"/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 изделия, когато доставката им е част от здравните услуги по смисъла на т.1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72798" w14:textId="77777777" w:rsidR="00AD7889" w:rsidRPr="00AD7889" w:rsidRDefault="00AD7889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889">
              <w:rPr>
                <w:rFonts w:ascii="Times New Roman" w:hAnsi="Times New Roman" w:cs="Times New Roman"/>
                <w:sz w:val="24"/>
                <w:szCs w:val="24"/>
              </w:rPr>
              <w:t xml:space="preserve">оставката на зъбни протези от лекари по дентална медицина или зъботехници 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7889">
              <w:rPr>
                <w:rFonts w:ascii="Times New Roman" w:hAnsi="Times New Roman" w:cs="Times New Roman"/>
                <w:sz w:val="24"/>
                <w:szCs w:val="24"/>
              </w:rPr>
              <w:t>изм. - ДВ, бр. 101 от 2013 г., в сила от 01.01.2014 г.)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6BC2D" w14:textId="05A94C6F" w:rsidR="001D1B2B" w:rsidRPr="006C7028" w:rsidRDefault="00AD7889" w:rsidP="00230C8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. Транспортни услуги за болни или ранени лица със специално предназначени превозни средства и от надлежно оправомощени органи</w:t>
            </w:r>
            <w:r w:rsidR="0044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DC889" w14:textId="77777777" w:rsidR="001D1B2B" w:rsidRPr="006C7028" w:rsidRDefault="001D1B2B" w:rsidP="001D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Например: транспортни услуги за спешна медицинска помощ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326D4" w14:textId="1C65ECDC" w:rsidR="00F16AFF" w:rsidRPr="00DB47FA" w:rsidRDefault="00AD7889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AFF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. Доставка на стоки и услуги в рамките на хуманитарната дейност на БЧК и други ЮЛНЦ </w:t>
            </w:r>
            <w:r w:rsidR="006C2777">
              <w:rPr>
                <w:rFonts w:ascii="Times New Roman" w:hAnsi="Times New Roman" w:cs="Times New Roman"/>
                <w:sz w:val="24"/>
                <w:szCs w:val="24"/>
              </w:rPr>
              <w:t xml:space="preserve">със статут в обществена полза. 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Доставките са освободени, когато Българският Червен кръст или други юридически лица с нестопанска цел, регистрирани за осъществяване на общественополезна дейност и вписани в регистъра по </w:t>
            </w:r>
            <w:r w:rsidR="006C2777" w:rsidRPr="00DB47FA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чл. 37у от </w:t>
            </w:r>
            <w:r w:rsidR="006C2777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храните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 като оператор на хранителна банка, не извършват продажба на безвъзмездно предоставените хранителни стоки по </w:t>
            </w:r>
            <w:r w:rsidR="006C2777" w:rsidRPr="00DB47F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чл. 6, ал. 4, т. 4</w:t>
            </w:r>
            <w:r w:rsidR="00B6134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ЗДДС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171">
              <w:rPr>
                <w:rFonts w:ascii="Times New Roman" w:hAnsi="Times New Roman" w:cs="Times New Roman"/>
                <w:sz w:val="24"/>
                <w:szCs w:val="24"/>
              </w:rPr>
              <w:t xml:space="preserve"> (изм. и доп., ДВ, бр. 88 от 2016 г.)</w:t>
            </w:r>
          </w:p>
          <w:p w14:paraId="1AA584FC" w14:textId="77777777" w:rsidR="00C37C18" w:rsidRPr="00DB47FA" w:rsidRDefault="00C37C18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C8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редоставянето на медицинска помощ от лице, упражняващо медицинска професия съгласно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здравето</w:t>
            </w:r>
            <w:r w:rsidRPr="00230C83">
              <w:rPr>
                <w:rFonts w:ascii="Times New Roman" w:hAnsi="Times New Roman" w:cs="Times New Roman"/>
                <w:sz w:val="24"/>
                <w:szCs w:val="24"/>
              </w:rPr>
              <w:t xml:space="preserve"> (нова - ДВ, бр. 95 от 2015 г., в сила от 01.01.2016 г.)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EB7596" w14:textId="77777777" w:rsidR="009D1A37" w:rsidRPr="006C7028" w:rsidRDefault="009D1A37" w:rsidP="009D1A37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1A37" w:rsidRPr="006C7028" w14:paraId="3D658FD7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3AF1552B" w14:textId="77777777" w:rsidR="007A0C30" w:rsidRPr="006C7028" w:rsidRDefault="007A0C30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със социални грижи и осигуряване</w:t>
            </w:r>
          </w:p>
          <w:p w14:paraId="575D2F4E" w14:textId="77777777" w:rsidR="009D1A37" w:rsidRPr="006C7028" w:rsidRDefault="007A0C30" w:rsidP="00776B9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40 от ЗДДС</w:t>
            </w:r>
          </w:p>
          <w:p w14:paraId="2CECB7A0" w14:textId="77777777" w:rsidR="009D1A37" w:rsidRPr="006C7028" w:rsidRDefault="009D1A37" w:rsidP="007A0C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04D4B5F" w14:textId="77777777" w:rsidR="009D1A37" w:rsidRPr="006C7028" w:rsidRDefault="009D1A37" w:rsidP="009D1A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51319D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14:paraId="4E6ED406" w14:textId="1403CCDE" w:rsidR="0016467B" w:rsidRPr="002457D7" w:rsidRDefault="00BA7F68" w:rsidP="002457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D7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услуги по </w:t>
            </w:r>
            <w:r w:rsidR="00776AC5" w:rsidRPr="00245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 w:rsidR="00776AC5" w:rsidRPr="0024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DC0F0" w14:textId="77777777" w:rsidR="002457D7" w:rsidRPr="002457D7" w:rsidRDefault="002457D7" w:rsidP="002457D7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BCBBC" w14:textId="45EEE7E3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 xml:space="preserve">чл. 15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>
              <w:t xml:space="preserve"> </w:t>
            </w:r>
            <w:r w:rsidR="00C859B6" w:rsidRPr="00B45AC8">
              <w:rPr>
                <w:rFonts w:ascii="Times New Roman" w:hAnsi="Times New Roman" w:cs="Times New Roman"/>
                <w:sz w:val="24"/>
                <w:szCs w:val="24"/>
              </w:rPr>
              <w:t>видовете социални услуги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B6" w:rsidRPr="00B4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зависимост от основните групи дейности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 xml:space="preserve"> са:</w:t>
            </w:r>
          </w:p>
          <w:p w14:paraId="54E3DF5C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1. информиране и консултиране;</w:t>
            </w:r>
          </w:p>
          <w:p w14:paraId="44FCB41F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2. застъпничество и посредничество;</w:t>
            </w:r>
          </w:p>
          <w:p w14:paraId="2D96F216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3. общностна работа;</w:t>
            </w:r>
          </w:p>
          <w:p w14:paraId="12D21441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4. терапия и рехабилитация;</w:t>
            </w:r>
          </w:p>
          <w:p w14:paraId="205FC86C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5. обучение за придобиване на умения;</w:t>
            </w:r>
          </w:p>
          <w:p w14:paraId="1598A3AA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6. подкрепа за придобиване на трудови умения;</w:t>
            </w:r>
          </w:p>
          <w:p w14:paraId="1BCB6EBA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7. дневна грижа;</w:t>
            </w:r>
          </w:p>
          <w:p w14:paraId="6663915C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резидентна</w:t>
            </w:r>
            <w:proofErr w:type="spellEnd"/>
            <w:r w:rsidRPr="00B45AC8">
              <w:rPr>
                <w:rFonts w:ascii="Times New Roman" w:hAnsi="Times New Roman" w:cs="Times New Roman"/>
                <w:sz w:val="24"/>
                <w:szCs w:val="24"/>
              </w:rPr>
              <w:t xml:space="preserve"> грижа;</w:t>
            </w:r>
          </w:p>
          <w:p w14:paraId="14CC74AE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9. осигуряване на подслон;</w:t>
            </w:r>
          </w:p>
          <w:p w14:paraId="6AA20D89" w14:textId="1B03D79E" w:rsid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10. асистентска подкрепа.</w:t>
            </w:r>
          </w:p>
          <w:p w14:paraId="3515F548" w14:textId="4299318B" w:rsid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b/>
                <w:sz w:val="24"/>
                <w:szCs w:val="24"/>
              </w:rPr>
              <w:t>Доставчик на социални услуги</w:t>
            </w: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 xml:space="preserve"> е лице, което отговаря за предоставянето на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(чл. 28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5121D" w14:textId="6D865DE1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b/>
                <w:sz w:val="24"/>
                <w:szCs w:val="24"/>
              </w:rPr>
              <w:t>Общините</w:t>
            </w: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предоставят всички социални услуги чрез:</w:t>
            </w:r>
          </w:p>
          <w:p w14:paraId="67F4BD0C" w14:textId="77777777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1. самостоятелно организиране и изпълнение на всички дейности, свързани с прякото предоставяне на социалните услуги;</w:t>
            </w:r>
          </w:p>
          <w:p w14:paraId="33055F62" w14:textId="77777777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2. специално създадени от общината за предоставянето на социалните услуги юридически лица;</w:t>
            </w:r>
          </w:p>
          <w:p w14:paraId="70290D43" w14:textId="381A71F8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3. възлагане на предоставянето на социалните услуги на частни доставчици на социални услуги</w:t>
            </w:r>
            <w:r w:rsidR="00BC055C">
              <w:rPr>
                <w:rFonts w:ascii="Times New Roman" w:hAnsi="Times New Roman" w:cs="Times New Roman"/>
                <w:sz w:val="24"/>
                <w:szCs w:val="24"/>
              </w:rPr>
              <w:t xml:space="preserve"> (чл. 29, ал. 1 и 3 от </w:t>
            </w:r>
            <w:r w:rsidR="00BC055C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 w:rsidR="00BC055C" w:rsidRPr="00BC0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CC6F6B" w14:textId="22B91056" w:rsidR="00BC055C" w:rsidRPr="00BC055C" w:rsidRDefault="00BC055C" w:rsidP="00BC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b/>
                <w:sz w:val="24"/>
                <w:szCs w:val="24"/>
              </w:rPr>
              <w:t>Частни доставчици на социални услуги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са:</w:t>
            </w:r>
          </w:p>
          <w:p w14:paraId="57DB4E36" w14:textId="6D429545" w:rsidR="00BC055C" w:rsidRPr="00BC055C" w:rsidRDefault="00BC055C" w:rsidP="00BC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физически лица, регистрирани по Търговския закон, и юридически лица;</w:t>
            </w:r>
          </w:p>
          <w:p w14:paraId="203CC8CD" w14:textId="23463891" w:rsidR="00C859B6" w:rsidRPr="00C859B6" w:rsidRDefault="00BC055C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 лица, извършващи търговска дейност, и юридически лица, регистрирани по законодателството на друга държава - членка на Европейския съюз, или на друга държава - страна по Споразумението за Европейското икономическо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>л. 30</w:t>
            </w:r>
            <w:r>
              <w:t xml:space="preserve"> 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D738503" w14:textId="77777777" w:rsidR="00C859B6" w:rsidRPr="00776AC5" w:rsidRDefault="00C859B6" w:rsidP="00B45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F11C68" w14:textId="77777777" w:rsidR="00BA7F68" w:rsidRPr="00D2062C" w:rsidRDefault="00BA7F68" w:rsidP="00C5188B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075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помощи по реда на </w:t>
            </w:r>
            <w:r w:rsidRPr="004A2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социалното подпомагане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. Социалните помощи са средства в пари и/или в натура, които допълват или заместват собствените доходи до основните жизнени потребности или задоволяват инцидентно възникнали потребности на подпомаганите лица и семейства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(чл.</w:t>
            </w:r>
            <w:r w:rsidR="000B3882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>11, ал.</w:t>
            </w:r>
            <w:r w:rsidR="000B3882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F43963" w:rsidRPr="004A2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социалното подпомагане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BA66A" w14:textId="77777777" w:rsidR="009D1A37" w:rsidRPr="00D2062C" w:rsidRDefault="00BA7F68" w:rsidP="00C5188B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5075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Задължителното и доброволното социално, пенсионно и здравно осигуряване, извършвано при условията и по реда на специален закон, включително посредническите услуги, пряко свързани с това.</w:t>
            </w:r>
          </w:p>
          <w:p w14:paraId="1C8BE1E3" w14:textId="57F4E851" w:rsidR="00BA7F68" w:rsidRPr="006C7028" w:rsidRDefault="00F431A3" w:rsidP="00C5188B">
            <w:pPr>
              <w:ind w:firstLine="59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12B4"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Извършването на посредничество при международно осиновяване по </w:t>
            </w:r>
            <w:r w:rsidR="006912B4" w:rsidRPr="004A2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Семейния кодекс</w:t>
            </w:r>
            <w:r w:rsidR="006912B4"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 (нова, ДВ, бр. 98 от 2018 г., в сила от 01.01.2019 г.).</w:t>
            </w:r>
            <w:r w:rsidR="0034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>Виж писмо № 04-14-5</w:t>
            </w:r>
            <w:r w:rsidR="00824C80" w:rsidRPr="00197816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 xml:space="preserve"> от 27.07.2018 г. на </w:t>
            </w:r>
            <w:r w:rsidR="00716D2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>. изпълнителния директор на НАП.</w:t>
            </w:r>
          </w:p>
        </w:tc>
      </w:tr>
      <w:tr w:rsidR="00F16AFF" w:rsidRPr="006C7028" w14:paraId="375154D1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7C4C04CB" w14:textId="77777777" w:rsidR="00ED0DC9" w:rsidRPr="006C7028" w:rsidRDefault="00ED0DC9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 образование, спорт или физическо възпитание</w:t>
            </w:r>
          </w:p>
          <w:p w14:paraId="0B60C9D9" w14:textId="77777777" w:rsidR="00F16AFF" w:rsidRPr="006C7028" w:rsidRDefault="00ED0DC9" w:rsidP="00776B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C85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41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1B2C451A" w14:textId="336D5F99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(изм. - ДВ, бр. 94 от 2010 г., в сила от 01.01.2011 г.)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Всички форми на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предучилищна подготовка и възпитание,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училищно и</w:t>
            </w:r>
            <w:r w:rsidR="00AE36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университетско образование, професионално образование и обучение, както и следдипломно обучение, преквалификация и повишаване на квалификацията,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обучението за придобиване на ключови компетентности,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предоставяни от:</w:t>
            </w:r>
          </w:p>
          <w:p w14:paraId="0C63C3ED" w14:textId="69815CDD" w:rsidR="00776B95" w:rsidRPr="006C7028" w:rsidRDefault="001C5167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детски градини, училища или обслужващи ги звена по </w:t>
            </w:r>
            <w:r w:rsidR="00776B95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</w:t>
            </w:r>
            <w:r w:rsidR="00B95E0F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предучилищното и училищното образование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институции в системата на професионалното образование и обучение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2F9D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професионалното образование и обучение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>, доставчици на обучение за придобиване на ключови компетентности, включени в списък, утвърден от изпълнителния директор на Агенцията по заетостта</w:t>
            </w:r>
            <w:r w:rsidR="001B2F9D" w:rsidRPr="006C7028">
              <w:t xml:space="preserve">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>или културно-просветни или научни институции;</w:t>
            </w:r>
          </w:p>
          <w:p w14:paraId="6A600787" w14:textId="4ED76ED3" w:rsidR="00776B95" w:rsidRPr="006C7028" w:rsidRDefault="001C5167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висши училища по </w:t>
            </w:r>
            <w:r w:rsidR="00776B95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висшето образование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DBB3C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Предоставяне на частни уроци, заместващи училищното или университетското образование по т.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Имат се предвид услугите, целящи заместването на форма на легитимно обучение, определено по нормативен ред, даващо същите права на лицата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завършили образованието си по реда на т.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D4A393" w14:textId="66F3587C" w:rsidR="00F65CF6" w:rsidRDefault="00BA752B" w:rsidP="00831C5A">
            <w:pPr>
              <w:pStyle w:val="Default"/>
              <w:jc w:val="both"/>
              <w:rPr>
                <w:color w:val="FF6600"/>
              </w:rPr>
            </w:pPr>
            <w:r w:rsidRPr="006C7028">
              <w:t>3. (изм. - ДВ, бр. 74 от 2009 г., в сила от 15.09.2009 г.</w:t>
            </w:r>
            <w:r w:rsidR="00D47E98">
              <w:t>, бр. 68 от 2013</w:t>
            </w:r>
            <w:r w:rsidR="000B3882">
              <w:t xml:space="preserve"> </w:t>
            </w:r>
            <w:r w:rsidR="00D47E98">
              <w:t>г., бр.</w:t>
            </w:r>
            <w:r w:rsidR="004B173E">
              <w:t xml:space="preserve"> </w:t>
            </w:r>
            <w:r w:rsidR="00D47E98">
              <w:t>79 от 2</w:t>
            </w:r>
            <w:r w:rsidR="001B79D8">
              <w:t>01</w:t>
            </w:r>
            <w:r w:rsidR="00D47E98">
              <w:t>5</w:t>
            </w:r>
            <w:r w:rsidR="000B3882">
              <w:t xml:space="preserve"> </w:t>
            </w:r>
            <w:r w:rsidR="00D47E98">
              <w:t>г.</w:t>
            </w:r>
            <w:r w:rsidRPr="006C7028">
              <w:t>) доставката на учебници</w:t>
            </w:r>
            <w:r w:rsidR="00EA2748">
              <w:t>, познавателни книжки</w:t>
            </w:r>
            <w:r w:rsidRPr="006C7028">
              <w:t xml:space="preserve"> и учебни </w:t>
            </w:r>
            <w:r w:rsidR="00D47E98">
              <w:t>комплекти</w:t>
            </w:r>
            <w:r w:rsidRPr="006C7028">
              <w:t>, одобрени от министъра на образованието и науката, когато стоките са доставени от организациите по т. 1</w:t>
            </w:r>
            <w:r w:rsidR="00D47E98">
              <w:t>, буква „а“, както и доставката на учебници, познавателни книжки и учебни комплекти</w:t>
            </w:r>
            <w:r w:rsidR="001C5167">
              <w:t xml:space="preserve">, </w:t>
            </w:r>
            <w:r w:rsidR="001C5167" w:rsidRPr="001C5167">
              <w:t xml:space="preserve">когато стоките са доставени от организациите по т. 1, буква </w:t>
            </w:r>
            <w:r w:rsidR="001C5167">
              <w:t>„</w:t>
            </w:r>
            <w:r w:rsidR="001C5167" w:rsidRPr="001C5167">
              <w:t>б</w:t>
            </w:r>
            <w:r w:rsidR="001C5167">
              <w:t>“</w:t>
            </w:r>
            <w:r w:rsidR="0075403D" w:rsidRPr="006C7028">
              <w:t>.</w:t>
            </w:r>
            <w:r w:rsidRPr="006C7028">
              <w:t xml:space="preserve"> </w:t>
            </w:r>
            <w:r w:rsidR="00776B95" w:rsidRPr="006C7028">
              <w:t>Доставките на учебници</w:t>
            </w:r>
            <w:r w:rsidR="00AE36EB" w:rsidRPr="00AE36EB">
              <w:t xml:space="preserve">, познавателни книжки </w:t>
            </w:r>
            <w:r w:rsidR="00776B95" w:rsidRPr="006C7028">
              <w:t xml:space="preserve">и учебни </w:t>
            </w:r>
            <w:r w:rsidR="00AE36EB" w:rsidRPr="00AE36EB">
              <w:t>комплекти</w:t>
            </w:r>
            <w:r w:rsidR="00776B95" w:rsidRPr="006C7028">
              <w:t xml:space="preserve">, които не се доставят </w:t>
            </w:r>
            <w:r w:rsidR="006B39B4">
              <w:t>от</w:t>
            </w:r>
            <w:r w:rsidR="00776B95" w:rsidRPr="006C7028">
              <w:t xml:space="preserve"> посочените лица</w:t>
            </w:r>
            <w:r w:rsidR="00F12BA5">
              <w:t>,</w:t>
            </w:r>
            <w:r w:rsidR="00776B95" w:rsidRPr="006C7028">
              <w:t xml:space="preserve"> са предмет на облага</w:t>
            </w:r>
            <w:r w:rsidR="00F12BA5">
              <w:t xml:space="preserve">не със ставка на данъка </w:t>
            </w:r>
            <w:r w:rsidR="005B6EE6">
              <w:t xml:space="preserve">от </w:t>
            </w:r>
            <w:r w:rsidR="00F12BA5">
              <w:t>9 на сто, съгласно</w:t>
            </w:r>
            <w:r w:rsidR="005B6EE6">
              <w:t xml:space="preserve">  </w:t>
            </w:r>
            <w:r w:rsidR="00F12BA5">
              <w:t>т. 2 на чл. 66, ал. 2 от ЗДДС (</w:t>
            </w:r>
            <w:r w:rsidR="00F07F80">
              <w:t>в сила от 01.07.2020 г.</w:t>
            </w:r>
            <w:r w:rsidR="00AE36EB">
              <w:t xml:space="preserve"> </w:t>
            </w:r>
            <w:r w:rsidR="00AE36EB" w:rsidRPr="00AE36EB">
              <w:t>до 31.12.2021 г.</w:t>
            </w:r>
            <w:r w:rsidR="00F07F80">
              <w:t xml:space="preserve">, </w:t>
            </w:r>
            <w:r w:rsidR="00EB6512">
              <w:t xml:space="preserve">виж. Фиш </w:t>
            </w:r>
            <w:r w:rsidR="00EB6512">
              <w:rPr>
                <w:lang w:val="en-US"/>
              </w:rPr>
              <w:t>VI.1.)</w:t>
            </w:r>
            <w:r w:rsidR="00F12BA5">
              <w:t xml:space="preserve"> </w:t>
            </w:r>
          </w:p>
          <w:p w14:paraId="0A14120B" w14:textId="179E4683" w:rsidR="00F16AFF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4. Услуги, пряко свързани със спорта или физическото възпитание, предоставяни от спортни организации по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Закона за физическото възпитание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спорта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които са регистрирани по ЗЮЛНЦ като организации, определени за извършване на общественополезна дейност.</w:t>
            </w:r>
          </w:p>
          <w:p w14:paraId="3F04D44D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16AFF" w:rsidRPr="006C7028" w14:paraId="6916C562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62FB8FB" w14:textId="77777777" w:rsidR="00EF0CBD" w:rsidRPr="006C7028" w:rsidRDefault="00EF0CBD" w:rsidP="00EF0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 култура</w:t>
            </w:r>
          </w:p>
          <w:p w14:paraId="2FD853F8" w14:textId="77777777" w:rsidR="00F16AFF" w:rsidRPr="006C7028" w:rsidRDefault="00EF0CBD" w:rsidP="00EF0C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42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191A2252" w14:textId="77777777" w:rsidR="00DF41A1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Продажба на билети от културни организации и институти по </w:t>
            </w:r>
            <w:r w:rsidR="004B173E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акона за закрила и развитие на културата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за: циркови, музикални и музикално-сценични спектакли и концерти, с изключение на билетите за барове, вариетета и еротични спектакли; музеи, художествени галерии, библиотеки и театри; зоологически и ботанически градини;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архитектурни, исторически, археологически, етнографски и музейни резервати и комплекси.</w:t>
            </w:r>
          </w:p>
          <w:p w14:paraId="1AA3535F" w14:textId="5D3E9946" w:rsidR="00DF41A1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Културна организация</w:t>
            </w:r>
            <w:r w:rsidR="00F937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е структура, създадена  или учредена по реда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закрила и развитие на културата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чийто предмет на дейност е създаването, разпространението и опазването на културни ценности в областта на театъра, музиката, киното, аудиовизията, литературата, художествения превод, танца, цирка, пластичните изкуства, архитектурата, дизайна, фолклора, включително опазването на културно-историческото наследство. Държавни културни институти са и училищата по изкуствата и училищата по културата.</w:t>
            </w:r>
          </w:p>
          <w:p w14:paraId="06C2241B" w14:textId="77777777" w:rsidR="00F16AFF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Дейността на Българското национално радио, Българската национална телевизия и Българската телеграфна агенция, за която получават плащане от </w:t>
            </w:r>
            <w:r w:rsidR="004B173E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14:paraId="60EFC2F3" w14:textId="77777777" w:rsidR="003E21BE" w:rsidRPr="006C7028" w:rsidRDefault="003E21BE" w:rsidP="00DF41A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16AFF" w:rsidRPr="006C7028" w14:paraId="202B58B5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99F2A07" w14:textId="77777777" w:rsidR="00CC229F" w:rsidRPr="006C7028" w:rsidRDefault="00CC229F" w:rsidP="00CC22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Доставка, свързана с вероизповедания</w:t>
            </w:r>
          </w:p>
          <w:p w14:paraId="5A1C17D2" w14:textId="77777777" w:rsidR="00F16AFF" w:rsidRPr="006C7028" w:rsidRDefault="00CC229F" w:rsidP="00CC2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43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02CAC5DC" w14:textId="77777777" w:rsidR="00F16AFF" w:rsidRPr="006C7028" w:rsidRDefault="003E21BE" w:rsidP="009D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Доставки на стоки и извършване на услуги от Българската православна църква и други регистрирани вероизповедания по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вероизповеданията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когато тези доставки са свързани с осъществяването на тяхната религиозна, социална, образователна и здравна дейност. Продажбата на вещи, свързани с богослужебната дейност, ритуали и обреди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се разглежда като освободена доставка.</w:t>
            </w:r>
          </w:p>
          <w:p w14:paraId="381531FC" w14:textId="77777777" w:rsidR="003E21BE" w:rsidRPr="006C7028" w:rsidRDefault="003E21BE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76B95" w:rsidRPr="006C7028" w14:paraId="3E1072F5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39F6DF29" w14:textId="77777777" w:rsidR="00DB3A58" w:rsidRPr="006C7028" w:rsidRDefault="00DB3A58" w:rsidP="00DB3A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с нестопански характер</w:t>
            </w:r>
          </w:p>
          <w:p w14:paraId="4EDC05B4" w14:textId="77777777" w:rsidR="00776B95" w:rsidRPr="006C7028" w:rsidRDefault="00DB3A58" w:rsidP="00DB3A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44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69D3B41D" w14:textId="77777777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Доколкото не води до нарушаване на правилата за конкуренцията, като освободена доставка се определя:</w:t>
            </w:r>
          </w:p>
          <w:p w14:paraId="79B1A1AF" w14:textId="2E03C0D2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доставката на стоки и извършването на услуги от здравни и лечебни заведения, социални и осигурителни предприятия, детски градини, училища, културни организации и институции, както и </w:t>
            </w:r>
            <w:r w:rsidR="00A51C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които не са търговци, поставящи си цели от политически, синдикален, религиозен, патриотичен, философски, филантропски или граждански характер, когато извършваната доставка е във връзка с прояви за набиране на средства, използвани за тяхната дейност или </w:t>
            </w:r>
            <w:r w:rsidR="00A51CF6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използвани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за постигане на поставените цели;</w:t>
            </w:r>
          </w:p>
          <w:p w14:paraId="2E94BF05" w14:textId="221C0FD3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доставката на стоки и предоставянето на услуги от посочените организации, които не са търговци</w:t>
            </w:r>
            <w:r w:rsidR="00A51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в полза на членовете им срещу членски внос, определен в съответствие с правилата на тези организации; </w:t>
            </w:r>
          </w:p>
          <w:p w14:paraId="40F625AF" w14:textId="303AD981" w:rsidR="00C857B9" w:rsidRPr="00C857B9" w:rsidRDefault="00A31428" w:rsidP="001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предоставянето от самостоятелни групи лица, чиито дейности са освободени или не са облагаеми с данък, на услуги на членовете им, които са пряко необходими за осъществяване на тяхната дейност, когато групите изискват от своите членове само възстановяване на дела им от общите разходи.</w:t>
            </w:r>
          </w:p>
        </w:tc>
      </w:tr>
      <w:tr w:rsidR="005D57F1" w:rsidRPr="006C7028" w14:paraId="34F8A828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1816E651" w14:textId="77777777" w:rsidR="00F9405E" w:rsidRPr="006C7028" w:rsidRDefault="00F9405E" w:rsidP="00F940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със земя и сгради</w:t>
            </w:r>
          </w:p>
          <w:p w14:paraId="418E6593" w14:textId="77777777" w:rsidR="005D57F1" w:rsidRPr="006C7028" w:rsidRDefault="00F9405E" w:rsidP="00F940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45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0EDBA26E" w14:textId="77777777" w:rsidR="00242A24" w:rsidRPr="00D307DD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Прехвърляне на право но собственост върху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30A43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Учредяване или прехвърляне на ограничени вещни права върху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D7DEF" w14:textId="5CB6ECD9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3. Отдаване под наем на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5329B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Аренда на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35D04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5. Отдаване под наем на сграда или част от нея за жилище на физическо лице, което не е търговец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45432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6. Учредяване или прехвърляне на право на строеж до момента на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издаването на разрешение за строеж на сградата,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за която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се учредява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прехвърля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правото на строеж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ED1AA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7. Доставка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сгради или части от тях, които не са нови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доставката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прилежащите към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тях терени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както и учредяването и прехвърлянето на други вещни права върху тях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E35E2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Доколкото в закона не се съдържа определение на понятието „сгради, които не са нови”, по аргумент на противното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 такива следва да се считат сградите, които не попадат в обхвата на даденото определение за „нови сгради”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5F1BF" w14:textId="734100B1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В §1,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5 от ДР на ЗДДС е дадено определение на понятието „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 сгради”.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 са сградите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4C813A3" w14:textId="56D7705B" w:rsidR="00242A24" w:rsidRPr="006C7028" w:rsidRDefault="007F74D8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които към датата, на която данъкът за доставката им е станал изискуем, са с етап на завършеност </w:t>
            </w:r>
            <w:r w:rsidR="00F937BC">
              <w:rPr>
                <w:rFonts w:ascii="Times New Roman" w:hAnsi="Times New Roman" w:cs="Times New Roman"/>
                <w:i/>
                <w:sz w:val="24"/>
                <w:szCs w:val="24"/>
              </w:rPr>
              <w:t>„груб строеж“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, или</w:t>
            </w:r>
          </w:p>
          <w:p w14:paraId="1AA639BF" w14:textId="30156046" w:rsidR="00C15F8B" w:rsidRDefault="007F74D8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които към датата, на която данъкът за доставката им е станал изискуем, не са изтекли 60 месеца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считано от датата, на която е издадено разрешение за ползване </w:t>
            </w:r>
            <w:r w:rsidR="005A6595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или удостоверение за въвеждане в експлоатация</w:t>
            </w:r>
            <w:r w:rsidR="006D75A1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по реда на Закона за устройство на територията</w:t>
            </w:r>
            <w:r w:rsidR="001C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1588">
              <w:rPr>
                <w:rFonts w:ascii="Times New Roman" w:hAnsi="Times New Roman" w:cs="Times New Roman"/>
                <w:i/>
                <w:sz w:val="24"/>
                <w:szCs w:val="24"/>
              </w:rPr>
              <w:t>ЗУТ</w:t>
            </w:r>
            <w:r w:rsidR="005A6595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5A1">
              <w:rPr>
                <w:rFonts w:ascii="Times New Roman" w:hAnsi="Times New Roman" w:cs="Times New Roman"/>
                <w:i/>
                <w:sz w:val="24"/>
                <w:szCs w:val="24"/>
              </w:rPr>
              <w:t>, или</w:t>
            </w:r>
          </w:p>
          <w:p w14:paraId="76020C94" w14:textId="3F1B291C" w:rsidR="00F20ED2" w:rsidRDefault="007F74D8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30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които отговарят на следните условия</w:t>
            </w:r>
            <w:r w:rsidR="00AC5BF3" w:rsidRPr="007B0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A992CF" w14:textId="2F6B01A0" w:rsidR="00F20ED2" w:rsidRPr="00831C5A" w:rsidRDefault="005A6595" w:rsidP="00831C5A">
            <w:pPr>
              <w:pStyle w:val="ListParagraph"/>
              <w:numPr>
                <w:ilvl w:val="0"/>
                <w:numId w:val="15"/>
              </w:numPr>
              <w:ind w:left="38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представляват части, обособени като самостоятелни обекти от съществуващи сгради в резултат на извършено надстрояване и/или допълващо застрояване, и тези части може да бъдат обект на отделни доставки или представляват сгради, за които направените преки разходи за извършване на реконструкция, основно обновяване и/или преустройство са не по-малко от една трета от пазарната цена на тези сгради към датата, на която е издадено ново разрешение за ползване или удостоверение за въвеждане в експлоатация по реда на </w:t>
            </w:r>
            <w:r w:rsidR="00271588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ЗУТ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</w:p>
          <w:p w14:paraId="4F71F194" w14:textId="372A304A" w:rsidR="00F65CF6" w:rsidRDefault="005A6595" w:rsidP="00831C5A">
            <w:pPr>
              <w:pStyle w:val="ListParagraph"/>
              <w:numPr>
                <w:ilvl w:val="0"/>
                <w:numId w:val="15"/>
              </w:numPr>
              <w:ind w:left="37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към датата, на която данъкът за доставката им е станал изискуем, не са изтекли 60 месеца, считано от датата, на която е издадено ново разрешение за ползване или удостоверение за въвеждане в експлоатация по реда на </w:t>
            </w:r>
            <w:r w:rsidR="00271588">
              <w:rPr>
                <w:rFonts w:ascii="Times New Roman" w:hAnsi="Times New Roman" w:cs="Times New Roman"/>
                <w:i/>
                <w:sz w:val="24"/>
                <w:szCs w:val="24"/>
              </w:rPr>
              <w:t>ЗУТ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14DA78F" w14:textId="61FE827F" w:rsidR="00F65CF6" w:rsidRPr="0050727A" w:rsidRDefault="00271588" w:rsidP="0083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§1, т. 94 </w:t>
            </w:r>
            <w:r w:rsidR="00853B0C"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(нова - ДВ, бр. 96 от 2019 г., в сила от 01.01.2020 г.) 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>от ДР на ЗДДС „надстрояване”, „допълващо застрояване”, „реконструкция”, „основно обновяване”, „преустройство” са понятия по смисъла на ЗУТ.</w:t>
            </w:r>
          </w:p>
          <w:p w14:paraId="7B220F42" w14:textId="2059A86B" w:rsidR="00271588" w:rsidRPr="0050727A" w:rsidRDefault="00271588" w:rsidP="0027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§ 35 от ЗИД на ЗКПО, ДВ. бр.96/2019 г. „нови сгради” са и наличните към 1 януари 2020 г. сгради, за които към тази дата са изпълнени условията по § 1, т. 5, буква </w:t>
            </w:r>
            <w:r w:rsidR="002E6CFA" w:rsidRPr="005072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CFA" w:rsidRPr="005072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B0C" w:rsidRPr="005072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 на ЗДДС.</w:t>
            </w:r>
          </w:p>
          <w:p w14:paraId="64B04FE9" w14:textId="77777777" w:rsidR="00F65CF6" w:rsidRPr="00831C5A" w:rsidRDefault="00F65CF6" w:rsidP="00831C5A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F67E13" w14:textId="46EAA0CB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§1,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от ДР на ЗДДС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„прилежащ терен”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сумата от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застроената площ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З</w:t>
            </w:r>
            <w:r w:rsidR="00484162"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площта около застроената площ,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определена на база отстояние 3</w:t>
            </w:r>
            <w:r w:rsidR="00C63D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от външните очертания на всяка от ограждащите стени на първия надземен етаж или </w:t>
            </w:r>
            <w:proofErr w:type="spellStart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полуподземния</w:t>
            </w:r>
            <w:proofErr w:type="spellEnd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 на сградата, в рамките на урегулирания поземлен имот. </w:t>
            </w:r>
          </w:p>
          <w:p w14:paraId="3D4F9657" w14:textId="7629702D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„Застроена площ”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§5,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от ДР на ЗУТ е площта, ограничена от външните очертания на ограждащите стени на първия надземен етаж или на </w:t>
            </w:r>
            <w:proofErr w:type="spellStart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полуподземния</w:t>
            </w:r>
            <w:proofErr w:type="spellEnd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етаж, включително площта на </w:t>
            </w:r>
            <w:proofErr w:type="spellStart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проветрителните</w:t>
            </w:r>
            <w:proofErr w:type="spellEnd"/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шахти и проходите в тези очертания. В застроената площ на приземно ниво не се включват тераси, външни стълби и стълбищни площадки, рампи, гаражи и други елементи с височина до 1,2 м от средното ниво на прилежащия терен.</w:t>
            </w:r>
          </w:p>
          <w:p w14:paraId="31474F9D" w14:textId="3227569A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 случаите, при които е налице доставка на сграда, която се състои, както от части, отговарящи на определението за нова сграда, така и от части, за които тези обстоятелства не са налице, освободена е само доставката на частите от сгради, за които обстоятелствата не са налице</w:t>
            </w:r>
            <w:r w:rsidR="0077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F8" w:rsidRPr="0077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72F8">
              <w:rPr>
                <w:rFonts w:ascii="Times New Roman" w:hAnsi="Times New Roman" w:cs="Times New Roman"/>
                <w:sz w:val="24"/>
                <w:szCs w:val="24"/>
              </w:rPr>
              <w:t xml:space="preserve">чл. 44, ал. </w:t>
            </w:r>
            <w:r w:rsidR="007772F8" w:rsidRPr="0077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2F8">
              <w:rPr>
                <w:rFonts w:ascii="Times New Roman" w:hAnsi="Times New Roman" w:cs="Times New Roman"/>
                <w:sz w:val="24"/>
                <w:szCs w:val="24"/>
              </w:rPr>
              <w:t xml:space="preserve"> от ППЗДДС</w:t>
            </w:r>
            <w:r w:rsidR="007772F8" w:rsidRPr="00777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602DE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Не се считат за освободени доставки, следните доставки свързани със земя и сгради:</w:t>
            </w:r>
          </w:p>
          <w:p w14:paraId="2268C768" w14:textId="2A321708" w:rsidR="00242A24" w:rsidRPr="00697EBA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прехвърлянето на право на собственост </w:t>
            </w:r>
            <w:r w:rsidR="000926FA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урегулиран поземлен имот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</w:t>
            </w:r>
            <w:r w:rsidRPr="00265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162" w:rsidRPr="00831C5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26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 изключение на прилежащия терен към сгради, които не са нови</w:t>
            </w:r>
            <w:r w:rsidR="006D2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B6A292" w14:textId="4C75565C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„Урегулиран поземлен имот” или „урегулиран имот”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§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5, т.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от ДР на </w:t>
            </w:r>
            <w:r w:rsidR="00F1492F" w:rsidRPr="0026574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84162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поземлен имот, за който с подробен устройствен план са определени граници, достъп от улица, път или алея, конкретно предназначение и режим на устройство. 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Поземлен имот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 по </w:t>
            </w:r>
            <w:r w:rsidR="000926FA" w:rsidRPr="0009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смисъла на § 5, т. 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926FA" w:rsidRPr="0009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ДР на З</w:t>
            </w:r>
            <w:r w:rsidR="00484162"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част от територия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включително и тази, която трайно е покрита с вода, определена с граници, съобразно правото на собственост.</w:t>
            </w:r>
          </w:p>
          <w:p w14:paraId="018780F4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прехвърлянето на право на собственост на прилежащи терени към нови сгради, както и учредяването и прехвърлянето на други вещни права върху тези терени;</w:t>
            </w:r>
          </w:p>
          <w:p w14:paraId="466AAFD0" w14:textId="4C7EE395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прехвърлянето на право на собственост или други вещни права, както и отдаването под наем на оборудване, машини, съоръжения и постройки, неподвижно закрепени към земята или изградени </w:t>
            </w:r>
            <w:r w:rsidR="000926F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повърхността </w:t>
            </w:r>
            <w:r w:rsidR="000926FA">
              <w:rPr>
                <w:rFonts w:ascii="Times New Roman" w:hAnsi="Times New Roman" w:cs="Times New Roman"/>
                <w:sz w:val="24"/>
                <w:szCs w:val="24"/>
              </w:rPr>
              <w:t>ѝ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E7879F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прехвърлянето на право на собственост или други вещни права, както и отдаването под наем от къмпинги, </w:t>
            </w:r>
            <w:proofErr w:type="spellStart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караванни</w:t>
            </w:r>
            <w:proofErr w:type="spellEnd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паркове, ваканционни лагери, </w:t>
            </w:r>
            <w:proofErr w:type="spellStart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паркингови</w:t>
            </w:r>
            <w:proofErr w:type="spellEnd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площи и други подобни;</w:t>
            </w:r>
          </w:p>
          <w:p w14:paraId="58F7C976" w14:textId="291AB032" w:rsidR="00ED14A9" w:rsidRDefault="00242A2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настаняването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</w:t>
            </w:r>
            <w:proofErr w:type="spellStart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караванни</w:t>
            </w:r>
            <w:proofErr w:type="spellEnd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паркове, ваканционни лагери, почивни станции, балнеоложки центрове и санаториални комплекси.</w:t>
            </w:r>
          </w:p>
        </w:tc>
      </w:tr>
      <w:tr w:rsidR="00DB3A58" w:rsidRPr="006C7028" w14:paraId="446FCE82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257DCC6" w14:textId="77777777" w:rsidR="00D565C4" w:rsidRPr="006C7028" w:rsidRDefault="00D565C4" w:rsidP="00D56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финансови услуги</w:t>
            </w:r>
          </w:p>
          <w:p w14:paraId="3FBD7464" w14:textId="77777777" w:rsidR="00DB3A58" w:rsidRPr="006C7028" w:rsidRDefault="00D565C4" w:rsidP="00D565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46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6226FFB6" w14:textId="26470C18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Договарянето, отпускането и управлението на кредит срещу насрещна престация (лихва) от лицето, което го отпуска, включително отпускането, договарянето и управлението на кредит при доставка на стоки</w:t>
            </w:r>
            <w:r w:rsidR="00E7474F" w:rsidRPr="00697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условията на договор за лизинг;</w:t>
            </w:r>
          </w:p>
          <w:p w14:paraId="0D2CCBBA" w14:textId="0EA7CBDD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Договарянето на гаранции и сделки с гаранции или ценни книжа, установяващи права върху парични вземания, както и управлението на гаранции от кредитора;</w:t>
            </w:r>
          </w:p>
          <w:p w14:paraId="0A90538C" w14:textId="77777777" w:rsidR="00140099" w:rsidRPr="006C7028" w:rsidRDefault="00140099" w:rsidP="00140099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Сделката, включително договарянето, свързана с платежни сметки, платежни услуги, електронни пари, плащания, дългове, вземания, чекове и други подобни договорни инструменти, без сделката по събиране на дългове и </w:t>
            </w:r>
            <w:proofErr w:type="spellStart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факторинг</w:t>
            </w:r>
            <w:proofErr w:type="spellEnd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отдаване под наем на сейфове</w:t>
            </w:r>
            <w:r w:rsidR="00C0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84" w:rsidRPr="006C7028">
              <w:rPr>
                <w:rFonts w:ascii="Times New Roman" w:hAnsi="Times New Roman" w:cs="Times New Roman"/>
                <w:sz w:val="24"/>
                <w:szCs w:val="24"/>
              </w:rPr>
              <w:t>(изм. - ДВ, бр. 23 от 2009 г., в сила от 01.11.2009 г.)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E1E571" w14:textId="05A44639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Сделката, включително договарянето, свързана с валута, банкноти, монети, използвани като законно платежно средство, с изключение на банкноти и монети, които обикновено не се използват като законно платежно средство или са с нумизматична стойност</w:t>
            </w:r>
            <w:r w:rsidR="00AD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89" w:rsidRPr="00AD7889">
              <w:rPr>
                <w:rFonts w:ascii="Times New Roman" w:hAnsi="Times New Roman" w:cs="Times New Roman"/>
                <w:sz w:val="24"/>
                <w:szCs w:val="24"/>
              </w:rPr>
              <w:t>(доп. - ДВ, бр. 95 от 2015 г., в сила от 01.01.2016 г.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>, изм. ДВ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 бр. 97 от 2016г.</w:t>
            </w:r>
            <w:r w:rsidR="00AD7889" w:rsidRPr="00AD7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C1A1C" w14:textId="0A26A24C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7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Сделката, включително договарянето, свързана с дружествени дялове, акции или други ценни книжа и техни деривати, с изключение на управлението и отговорното пазене; това не се отнася за ценни книжа, установяващи права върху стоки или услуги</w:t>
            </w:r>
            <w:r w:rsidR="00E7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извън посочените в този член;</w:t>
            </w:r>
          </w:p>
          <w:p w14:paraId="3CF279E4" w14:textId="77777777" w:rsidR="00C07784" w:rsidRDefault="00CA7D15" w:rsidP="00502A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правлението на дейността на колективни инвестиционни схеми, национални инвестиционни фондове и пенсионни фондове и предоставянето на инвестиционни 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консултации по реда на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дейността на колективните инвестиционни схеми и на други предприятия за колективно инвестиране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7D1" w:rsidRPr="007C37D1">
              <w:rPr>
                <w:rFonts w:ascii="Times New Roman" w:hAnsi="Times New Roman" w:cs="Times New Roman"/>
                <w:sz w:val="24"/>
                <w:szCs w:val="24"/>
              </w:rPr>
              <w:t xml:space="preserve">и услугата, предоставена от обвързан агент на инвестиционен посредник във връзка с услугите и дейностите по чл. 33 от </w:t>
            </w:r>
            <w:r w:rsidR="007C37D1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пазарите на финансови инструменти</w:t>
            </w:r>
            <w:r w:rsidR="007C37D1" w:rsidRPr="007C37D1">
              <w:rPr>
                <w:rFonts w:ascii="Times New Roman" w:hAnsi="Times New Roman" w:cs="Times New Roman"/>
                <w:sz w:val="24"/>
                <w:szCs w:val="24"/>
              </w:rPr>
              <w:t>, когато тези услуги и дейности представляват финансови услуги, и предоставянето на инвестиционни съвети по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пазарите на финансови инструменти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, както и управлението на дейността на Фонд на фондовете по реда на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управление на средствата от Европейските структурни и инвестиционни фондове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и изпълнението на финансови инструменти въз основа на финансови споразумения по смисъла на </w:t>
            </w:r>
            <w:r w:rsidR="000B3882" w:rsidRPr="004E53D5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чл. 38, параграф 7 от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Регламент (ЕС) № 1303/2013</w:t>
            </w:r>
            <w:r w:rsidR="000B3882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Европейския парламент и на Съвета от 17 декември 2013 г. за определяне на </w:t>
            </w:r>
            <w:proofErr w:type="spellStart"/>
            <w:r w:rsidR="000B3882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общоприложими</w:t>
            </w:r>
            <w:proofErr w:type="spellEnd"/>
            <w:r w:rsidR="000B3882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</w:t>
            </w:r>
            <w:r w:rsidR="000B3882" w:rsidRPr="00831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Регламент (ЕО) 1083/2006 на Съвета 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(ОВ, L 347/320 от 20 декември 2013 г.)</w:t>
            </w:r>
            <w:r w:rsidR="00C07784">
              <w:t xml:space="preserve"> </w:t>
            </w:r>
            <w:r w:rsidR="00C07784" w:rsidRP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(изм. и доп. - ДВ, бр. 52 от 2007 г., в сила от 01.11.2007 г., изм. - ДВ, бр. 77 от 2011 г., изм. - ДВ, бр. 109 от 2013 г., в сила от 01.01.2014 г., доп. - ДВ, бр. 60 от 2016 г., доп. - ДВ, бр. 97 от 2017 г., в сила от 01.01.2018 г.</w:t>
            </w:r>
            <w:r w:rsidR="00962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2446" w:rsidRPr="007C37D1">
              <w:rPr>
                <w:rFonts w:ascii="Times New Roman" w:hAnsi="Times New Roman" w:cs="Times New Roman"/>
                <w:sz w:val="24"/>
                <w:szCs w:val="24"/>
              </w:rPr>
              <w:t xml:space="preserve"> доп. - ДВ, бр. 98 от 2018 г., в сила от 01.01.2019 г.</w:t>
            </w:r>
            <w:r w:rsidR="00C07784" w:rsidRP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3AF1E0" w14:textId="602AAC83" w:rsidR="00C07784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7. Сделката, включително договарянето, свързана с финансови фючърси и опции.</w:t>
            </w:r>
          </w:p>
          <w:p w14:paraId="195DF43F" w14:textId="77777777" w:rsidR="00DB3A58" w:rsidRPr="006C7028" w:rsidRDefault="00DB3A58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423FC" w:rsidRPr="006C7028" w14:paraId="0AD949E3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10521EDB" w14:textId="77777777" w:rsidR="00A423FC" w:rsidRPr="00A423FC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финансови услуги</w:t>
            </w:r>
          </w:p>
          <w:p w14:paraId="397671EE" w14:textId="77777777" w:rsidR="00A423FC" w:rsidRPr="006C7028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 ал. 1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ЗДДС</w:t>
            </w:r>
          </w:p>
        </w:tc>
        <w:tc>
          <w:tcPr>
            <w:tcW w:w="8230" w:type="dxa"/>
            <w:shd w:val="thinReverseDiagStripe" w:color="FFFFFF" w:fill="FFFFFF"/>
          </w:tcPr>
          <w:p w14:paraId="0FFD7E0C" w14:textId="77777777" w:rsidR="00A423FC" w:rsidRPr="006C7028" w:rsidRDefault="00A423FC" w:rsidP="003F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Деривати на ценни книги по смисъла на чл. 46, ал. 1, т. 5 от </w:t>
            </w:r>
            <w:r w:rsidR="003F01AA">
              <w:rPr>
                <w:rFonts w:ascii="Times New Roman" w:hAnsi="Times New Roman" w:cs="Times New Roman"/>
                <w:sz w:val="24"/>
                <w:szCs w:val="24"/>
              </w:rPr>
              <w:t xml:space="preserve">ЗДДС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са: инвестиционни портфейли, купони на облигации и други подобни (Предишен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на чл. 42 - ДВ, бр. 101 от 2006 г., изм. - ДВ, бр. 8 от 2016 г., в сила от 29.01.2016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A58" w:rsidRPr="006C7028" w14:paraId="509E82CD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CF42D6E" w14:textId="77777777" w:rsidR="0029707C" w:rsidRPr="006C7028" w:rsidRDefault="0029707C" w:rsidP="002970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застрахователни услуги</w:t>
            </w:r>
          </w:p>
          <w:p w14:paraId="4E7FB5FE" w14:textId="77777777" w:rsidR="00DB3A58" w:rsidRPr="006C7028" w:rsidRDefault="0029707C" w:rsidP="00B369F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47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1475B3BB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Извършването на услуги при условията и по реда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Кодекса за застраховането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от:</w:t>
            </w:r>
          </w:p>
          <w:p w14:paraId="027CDA57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застрахователи и презастрахователи;</w:t>
            </w:r>
          </w:p>
          <w:p w14:paraId="0AD0E113" w14:textId="77777777" w:rsidR="00DB3A58" w:rsidRPr="006C7028" w:rsidRDefault="007B02FF" w:rsidP="007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застрахователни брокери и застрахователни агенти</w:t>
            </w:r>
            <w:r w:rsidR="003B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57427E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423FC" w:rsidRPr="006C7028" w14:paraId="2618CCC1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6C0CD567" w14:textId="77777777" w:rsidR="00A423FC" w:rsidRPr="00A423FC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на застрахователни услуги</w:t>
            </w:r>
          </w:p>
          <w:p w14:paraId="4363CF0C" w14:textId="77777777" w:rsidR="00A423FC" w:rsidRPr="006C7028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 ал. 2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от </w:t>
            </w:r>
            <w:r w:rsidR="003B566A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ЗДДС</w:t>
            </w:r>
          </w:p>
        </w:tc>
        <w:tc>
          <w:tcPr>
            <w:tcW w:w="8230" w:type="dxa"/>
            <w:shd w:val="thinReverseDiagStripe" w:color="FFFFFF" w:fill="FFFFFF"/>
          </w:tcPr>
          <w:p w14:paraId="670AD84C" w14:textId="77777777" w:rsidR="00A423FC" w:rsidRPr="006C7028" w:rsidRDefault="00A423FC" w:rsidP="003F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Освободена доставка по смисъла на чл. 47 от </w:t>
            </w:r>
            <w:r w:rsidR="003F01AA">
              <w:rPr>
                <w:rFonts w:ascii="Times New Roman" w:hAnsi="Times New Roman" w:cs="Times New Roman"/>
                <w:sz w:val="24"/>
                <w:szCs w:val="24"/>
              </w:rPr>
              <w:t>ЗДДС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 е и извършването на услуги при условията и по реда на Кодекса за застраховането от презастрахователи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ова - ДВ, бр. 101 от 2006 г.).</w:t>
            </w:r>
          </w:p>
        </w:tc>
      </w:tr>
      <w:tr w:rsidR="00DB3A58" w:rsidRPr="0041024E" w14:paraId="18796A50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073C63B" w14:textId="77777777" w:rsidR="00474379" w:rsidRPr="006C7028" w:rsidRDefault="00474379" w:rsidP="004743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Хазарт</w:t>
            </w:r>
          </w:p>
          <w:p w14:paraId="14888F2A" w14:textId="77777777" w:rsidR="00DB3A58" w:rsidRPr="006C7028" w:rsidRDefault="00474379" w:rsidP="0047437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48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55E90DE8" w14:textId="77777777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Организирането на </w:t>
            </w:r>
            <w:r w:rsidRPr="00D21132">
              <w:rPr>
                <w:rFonts w:ascii="Times New Roman" w:hAnsi="Times New Roman" w:cs="Times New Roman"/>
                <w:b/>
                <w:sz w:val="24"/>
                <w:szCs w:val="24"/>
              </w:rPr>
              <w:t>хазартни игри</w:t>
            </w:r>
            <w:r w:rsidRPr="00D21132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</w:p>
          <w:p w14:paraId="68C75A57" w14:textId="0793B693" w:rsidR="00C40AE7" w:rsidRPr="001D6736" w:rsidRDefault="00C40AE7" w:rsidP="00C40AE7">
            <w:pPr>
              <w:jc w:val="both"/>
              <w:rPr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Съгласно чл. </w:t>
            </w:r>
            <w:r w:rsidR="00D21132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ал.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хазартни игри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лотарийни игри, игри със залагания върху резултати от спортни състезания и надбягвания с коне и кучета, игри със залагания върху случайни събития и със залагания, свързани с познаване на факти, игри с игрални автомати и игри в игрално казино. Начинът, техническите средства и електронните съобщителни средства или услуги, чрез които се организира и предлага хазартна игра, не променят вида на играта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2E1AC5F" w14:textId="7FE63FD5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Лотарийните игри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, в които се участва посредством билети, фишове, талони или други удостоверителни знаци. Печалбата се дължи при откриване или познаване на определена цифра, комбинация от цифри, знак, фигура и други</w:t>
            </w:r>
            <w:r w:rsidR="00E8257C" w:rsidRPr="00C13FF6" w:rsidDel="00E8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48EAE9D" w14:textId="6D7ECD3E" w:rsidR="0026574D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Тото и </w:t>
            </w:r>
            <w:proofErr w:type="spellStart"/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лото</w:t>
            </w:r>
            <w:proofErr w:type="spellEnd"/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игрите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1DFC" w:rsidRPr="00F01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 хазартни игри, при които се залага върху една или повече числови комбинации и се изтеглят определен брой числа, формиращи числови комбинации. Участието в игрите се осъществява посредством удостоверителни знаци, чиито образци се утвърждават от изпълнителния директор на Националната агенция за приходите.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F01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01DFC" w:rsidRPr="00F01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1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F01DFC" w:rsidRPr="00F01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зм. - ДВ, бр. 69 от 2020 г.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6E809FEC" w14:textId="3CA288CC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Игрите </w:t>
            </w:r>
            <w:r w:rsidR="00F9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Бинго</w:t>
            </w:r>
            <w:r w:rsidR="00F9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F9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Кено</w:t>
            </w:r>
            <w:proofErr w:type="spellEnd"/>
            <w:r w:rsidR="00F9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при които се залага върху една или повече числови комбинации и се изтеглят определен брой числа, формиращи печелившите комбинации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578414DF" w14:textId="7C6432C4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Томболите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са лотарийни игри, които се разиграват само с продадените билети - организират се еднократно или през определен период от време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01219DD6" w14:textId="2AFC8AFB" w:rsidR="00C40AE7" w:rsidRPr="00D21132" w:rsidRDefault="00934C7E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Игрите с игрални автомати </w:t>
            </w:r>
            <w:r w:rsidRPr="00934C7E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които се организират в игрални зали.</w:t>
            </w:r>
            <w:r w:rsidRPr="0093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0AE7"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Игрален автомат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устройство, на което се залага с монета, банкнота, жетон, бутон, магнитна карта или с друго средство. В игралния автомат изборът на комбинация за печалба или загуба се прави на случаен принцип от генератор на случайни числа, който може да се намира физически в игралния автомат или в игралната зала, където е разположен автоматът. Игралният автомат или организаторът изплаща печалбата на участника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="00D50E55">
              <w:rPr>
                <w:rFonts w:ascii="Times New Roman" w:hAnsi="Times New Roman" w:cs="Times New Roman"/>
                <w:i/>
                <w:sz w:val="24"/>
                <w:szCs w:val="24"/>
              </w:rPr>
              <w:t>, ал. 1 и 2</w:t>
            </w:r>
            <w:r w:rsid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C40AE7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01B0C0A9" w14:textId="69DCB6B8" w:rsidR="00C40AE7" w:rsidRDefault="00FA208B" w:rsidP="00FA20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Игрите в игрално казино 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които се организират</w:t>
            </w:r>
            <w:r w:rsidRPr="00FA2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игрални маси и с игрални автомати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. Казиното представлява сграда или обособена част от сграда.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1D39" w:rsidRPr="00AD1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Хазартни игри на игрални маси са:</w:t>
            </w:r>
            <w:r w:rsidR="00AD1D39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рулетка, с карти, включително покер, със зарове и разновидностите им. </w:t>
            </w:r>
            <w:r w:rsidR="006C4E31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В игрите се участва с различни залози, като печалбите в рамките на една игра на една игрална маса може да са различни. Печалбите или загубите зависят предимно от случайността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4E31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71, ал. 1 и 2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40AE7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4DBC36C" w14:textId="535A9A31" w:rsidR="00AD1D39" w:rsidRPr="00D21132" w:rsidRDefault="00AD1D39" w:rsidP="00AD1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2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Игрално оборудване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игрални автомати с едно или повече игрални места, игрални маси в игрално казино и игрални съоръжения за числовите лотарийни игри тото, </w:t>
            </w:r>
            <w:proofErr w:type="spellStart"/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лото</w:t>
            </w:r>
            <w:proofErr w:type="spellEnd"/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бинго и </w:t>
            </w:r>
            <w:proofErr w:type="spellStart"/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кено</w:t>
            </w:r>
            <w:proofErr w:type="spellEnd"/>
            <w:r w:rsidRPr="00AD1D39" w:rsidDel="00684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§ 1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2DE4FC22" w14:textId="55DA3279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Игрите със </w:t>
            </w:r>
            <w:r w:rsidRPr="00831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залагания върху резултати от спортни </w:t>
            </w:r>
            <w:r w:rsidR="008816D5" w:rsidRPr="00831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състезания и надбягвания с коне и кучета</w:t>
            </w:r>
            <w:r w:rsidR="008816D5" w:rsidRPr="00AD1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са хазартни игри, при които печалбата зависи само от вярното предвиждане и познаване на тези резултати. Печалбите се определят от</w:t>
            </w:r>
            <w:r w:rsidR="008816D5" w:rsidRPr="00AD1D39" w:rsidDel="008816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816D5" w:rsidRPr="00AD1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размерите на залозите и съответните предварително определени от организатора коефициенти, или от съотношението между броя на спечелилите играчи и размерите на залозите при предварително установен дял на печалбите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4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44A97340" w14:textId="21D741E3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Игри </w:t>
            </w:r>
            <w:r w:rsidRPr="001347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със </w:t>
            </w:r>
            <w:r w:rsidRPr="00AD1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залагания върху случайни събития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</w:t>
            </w:r>
            <w:r w:rsidR="00982CAD" w:rsidRPr="00982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неуредени по друг начин в </w:t>
            </w:r>
            <w:r w:rsidR="00982CAD">
              <w:rPr>
                <w:rFonts w:ascii="Times New Roman" w:hAnsi="Times New Roman" w:cs="Times New Roman"/>
                <w:i/>
                <w:sz w:val="24"/>
                <w:szCs w:val="24"/>
              </w:rPr>
              <w:t>Закона за хазарта</w:t>
            </w:r>
            <w:r w:rsidR="00982CAD" w:rsidRPr="00982CAD">
              <w:rPr>
                <w:rFonts w:ascii="Times New Roman" w:hAnsi="Times New Roman" w:cs="Times New Roman"/>
                <w:i/>
                <w:sz w:val="24"/>
                <w:szCs w:val="24"/>
              </w:rPr>
              <w:t>, при които печалбата зависи изключително от случайността на възникване на събитие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33B7425B" w14:textId="0D580D56" w:rsidR="00DB3A58" w:rsidRPr="00DD6077" w:rsidRDefault="001347B4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1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Игрите със залагания, свързани с познаване на факти</w:t>
            </w:r>
            <w:r w:rsidR="00982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при които печалбата зависи от познаване или даване на верен отговор относно съществуващ факт </w:t>
            </w:r>
            <w:r w:rsidR="00C40AE7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D21132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62, ал. 2 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40AE7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B5396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02FF" w:rsidRPr="006C7028" w14:paraId="3738B1D4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04F03CF5" w14:textId="77777777" w:rsidR="000E6C11" w:rsidRPr="006C7028" w:rsidRDefault="000E6C11" w:rsidP="000E6C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пощенски марки и пощенски услуги</w:t>
            </w:r>
          </w:p>
          <w:p w14:paraId="0F5F37D5" w14:textId="77777777" w:rsidR="007B02FF" w:rsidRPr="006C7028" w:rsidRDefault="000E6C11" w:rsidP="000E6C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49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52ED9C07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Доставка на пощенски марки по номинал или приравнен знак на пощенска марка;</w:t>
            </w:r>
          </w:p>
          <w:p w14:paraId="0087947C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Съгласно чл.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43, ал.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 от ППЗДДС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 знак на пощенска марка е отпечатък на пощенска марка върху пощенски плик, издаден и пуснат в обр</w:t>
            </w:r>
            <w:r w:rsidR="004A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щение  по установения за това ред. Не се смята за приравнен знак на пощенс</w:t>
            </w:r>
            <w:r w:rsidR="006C7028">
              <w:rPr>
                <w:rFonts w:ascii="Times New Roman" w:hAnsi="Times New Roman" w:cs="Times New Roman"/>
                <w:sz w:val="24"/>
                <w:szCs w:val="24"/>
              </w:rPr>
              <w:t xml:space="preserve">ка марка отпечатъкът от </w:t>
            </w:r>
            <w:proofErr w:type="spellStart"/>
            <w:r w:rsidR="006C7028">
              <w:rPr>
                <w:rFonts w:ascii="Times New Roman" w:hAnsi="Times New Roman" w:cs="Times New Roman"/>
                <w:sz w:val="24"/>
                <w:szCs w:val="24"/>
              </w:rPr>
              <w:t>таксувач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машина под контрола на пощенска служба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807A6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Извършването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универсалн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пощенск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условията и по реда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пощенските услуги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2A6AC3" w14:textId="56241994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Съгласно чл.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32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пощенските услуги</w:t>
            </w:r>
            <w:r w:rsidR="0077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A1F">
              <w:rPr>
                <w:rFonts w:ascii="Times New Roman" w:hAnsi="Times New Roman" w:cs="Times New Roman"/>
                <w:sz w:val="24"/>
                <w:szCs w:val="24"/>
              </w:rPr>
              <w:t>ЗПУ</w:t>
            </w:r>
            <w:r w:rsidR="005A6595" w:rsidRPr="00831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универсалната пощенска услуга е услуга, която се извършва постоянно в рамките на определено работно време с качество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отговарящо на изискванията по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15, ал.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1, т.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 същия закон, при достъпни цени и възможност за ползването им от всеки потребител на територията на страната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географското му положение.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Универсалната пощенска услуга включва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услугите</w:t>
            </w:r>
            <w:r w:rsidR="003B5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 в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>, ал. 1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65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51FC" w:rsidRPr="00831C5A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това са:</w:t>
            </w:r>
          </w:p>
          <w:p w14:paraId="5E4E78CE" w14:textId="41F61EED" w:rsidR="00051FCB" w:rsidRPr="006C7028" w:rsidRDefault="007C3B1C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приемане, пренасяне и доставяне на вътрешни и международни пощенски пратки, както следва:</w:t>
            </w:r>
          </w:p>
          <w:p w14:paraId="037D58FF" w14:textId="1A0D53F9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кореспондентски пратки - до 2 кг;</w:t>
            </w:r>
          </w:p>
          <w:p w14:paraId="7ACBE029" w14:textId="0C5B4430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малки пакети - до 2 кг;</w:t>
            </w:r>
          </w:p>
          <w:p w14:paraId="7A638791" w14:textId="245398EA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печатни произведения - до 5 кг;</w:t>
            </w:r>
          </w:p>
          <w:p w14:paraId="5754BD7C" w14:textId="31F3CE13" w:rsidR="00051FCB" w:rsidRPr="006C7028" w:rsidRDefault="007C3B1C" w:rsidP="00831C5A">
            <w:pPr>
              <w:ind w:left="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пратки за незрящи и </w:t>
            </w:r>
            <w:proofErr w:type="spellStart"/>
            <w:r w:rsidR="005A6595" w:rsidRPr="00831C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слабовиждащи</w:t>
            </w:r>
            <w:proofErr w:type="spellEnd"/>
            <w:r w:rsidR="005A6595" w:rsidRPr="00831C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лица</w:t>
            </w:r>
            <w:r w:rsidR="00CE5E32"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до 7 кг</w:t>
            </w:r>
            <w:r w:rsidR="00DD014F">
              <w:t xml:space="preserve"> (</w:t>
            </w:r>
            <w:r w:rsidR="00DD014F" w:rsidRPr="00DD014F">
              <w:rPr>
                <w:rFonts w:ascii="Times New Roman" w:hAnsi="Times New Roman" w:cs="Times New Roman"/>
                <w:sz w:val="24"/>
                <w:szCs w:val="24"/>
              </w:rPr>
              <w:t>в сила от 09.07.2019 г., ДВ, бр. 53/2019г.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628F8" w14:textId="2E9AA963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приемане, пренасяне и доставяне на вътрешни и международни пощенски колети - до 20 кг; когато се отнася за колети от други страни, може да бъде по-висока.</w:t>
            </w:r>
          </w:p>
          <w:p w14:paraId="56185CF6" w14:textId="0147CFDB" w:rsidR="00DD014F" w:rsidRDefault="00F937BC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допълнителни услуги „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препоръка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и „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обявена стойност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E93A6" w14:textId="6955F89E" w:rsidR="00051FCB" w:rsidRDefault="00DD014F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Универсалната пощенска услуга се извършва само </w:t>
            </w:r>
            <w:r w:rsidRPr="00831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пакет от всички</w:t>
            </w:r>
            <w:r w:rsidRPr="00DD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посочени </w:t>
            </w:r>
            <w:r w:rsidRPr="00DD014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34, </w:t>
            </w:r>
            <w:r w:rsidRPr="00DD014F">
              <w:rPr>
                <w:rFonts w:ascii="Times New Roman" w:hAnsi="Times New Roman" w:cs="Times New Roman"/>
                <w:sz w:val="24"/>
                <w:szCs w:val="24"/>
              </w:rPr>
              <w:t>ал.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ЗПУ (чл. 34, ал. 5 от ЗПУ)</w:t>
            </w:r>
            <w:r w:rsidRPr="00DD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FBB6A" w14:textId="6042D1CB" w:rsidR="003A1095" w:rsidRPr="006C7028" w:rsidRDefault="003A1095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Универсалната пощенска услуга се предоставя по правила, определени с чл. 15, 32 и 33 от ЗПУ и на цени, определени по правилата в чл. 66 от ЗПУ</w:t>
            </w:r>
            <w:r w:rsidR="0058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267B2" w14:textId="3799D926" w:rsidR="00DD014F" w:rsidRPr="00831C5A" w:rsidRDefault="00051FCB" w:rsidP="00831C5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 обхвата на освободените доставки 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>по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 ЗДДС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не попадат 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14F" w:rsidRPr="00DD014F">
              <w:rPr>
                <w:rFonts w:ascii="Times New Roman" w:hAnsi="Times New Roman" w:cs="Times New Roman"/>
                <w:sz w:val="24"/>
                <w:szCs w:val="24"/>
              </w:rPr>
              <w:t>ощенски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D014F" w:rsidRPr="00DD014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включени в обхвата на универсалната пощенска услуга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D014F" w:rsidRPr="00DD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неуниверсалните пощенски услуги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14F" w:rsidRPr="00DD014F">
              <w:rPr>
                <w:rFonts w:ascii="Times New Roman" w:hAnsi="Times New Roman" w:cs="Times New Roman"/>
                <w:i/>
                <w:sz w:val="24"/>
                <w:szCs w:val="24"/>
              </w:rPr>
              <w:t>Пощенски услуги, включени в обхвата на универсалната пощенска услуга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, са услуги по приемане, пренасяне и доставяне на </w:t>
            </w:r>
            <w:r w:rsidR="00DD014F" w:rsidRPr="00C5188B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 видове пощенски пратки и услуги по чл. 34, ал. 1</w:t>
            </w:r>
            <w:r w:rsidR="003A1095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 от ЗПУ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095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предоставянето на </w:t>
            </w:r>
            <w:r w:rsidR="003A1095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пощенски 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A1095" w:rsidRPr="00831C5A">
              <w:rPr>
                <w:rFonts w:ascii="Times New Roman" w:hAnsi="Times New Roman" w:cs="Times New Roman"/>
                <w:sz w:val="24"/>
                <w:szCs w:val="24"/>
              </w:rPr>
              <w:t>, включени в обхвата на универсалната пощенска услуга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прилагат чл. 32 и 33 и правилата по чл. 66</w:t>
            </w:r>
            <w:r w:rsidR="003A1095" w:rsidRPr="00831C5A">
              <w:rPr>
                <w:rFonts w:ascii="Times New Roman" w:hAnsi="Times New Roman" w:cs="Times New Roman"/>
                <w:sz w:val="24"/>
                <w:szCs w:val="24"/>
              </w:rPr>
              <w:t xml:space="preserve"> от ЗПУ</w:t>
            </w:r>
            <w:r w:rsidR="0058478B">
              <w:t xml:space="preserve"> </w:t>
            </w:r>
            <w:r w:rsidR="0058478B" w:rsidRPr="00831C5A">
              <w:rPr>
                <w:rFonts w:ascii="Times New Roman" w:hAnsi="Times New Roman" w:cs="Times New Roman"/>
                <w:sz w:val="24"/>
                <w:szCs w:val="24"/>
              </w:rPr>
              <w:t>(чл.</w:t>
            </w:r>
            <w:r w:rsidR="0058478B" w:rsidRPr="0058478B">
              <w:rPr>
                <w:rFonts w:ascii="Times New Roman" w:hAnsi="Times New Roman" w:cs="Times New Roman"/>
                <w:sz w:val="24"/>
                <w:szCs w:val="24"/>
              </w:rPr>
              <w:t xml:space="preserve"> 36б</w:t>
            </w:r>
            <w:r w:rsidR="0058478B">
              <w:rPr>
                <w:rFonts w:ascii="Times New Roman" w:hAnsi="Times New Roman" w:cs="Times New Roman"/>
                <w:sz w:val="24"/>
                <w:szCs w:val="24"/>
              </w:rPr>
              <w:t xml:space="preserve"> от ЗПУ, </w:t>
            </w:r>
            <w:r w:rsidR="0058478B" w:rsidRPr="0058478B">
              <w:rPr>
                <w:rFonts w:ascii="Times New Roman" w:hAnsi="Times New Roman" w:cs="Times New Roman"/>
                <w:sz w:val="24"/>
                <w:szCs w:val="24"/>
              </w:rPr>
              <w:t>в сила от 09.07.2019 г., ДВ, бр. 53 от 2019 г.)</w:t>
            </w:r>
            <w:r w:rsidR="00DD014F" w:rsidRPr="0083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ADF0C7" w14:textId="242C684A" w:rsidR="003740AC" w:rsidRDefault="003740AC" w:rsidP="00831C5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Неуниверсалните пощенски услуги са посочени в разпоредбата на чл. 38 </w:t>
            </w:r>
            <w:r w:rsidR="005A6595" w:rsidRPr="0083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изменена, в сила от 09.07.2019 г., ДВ, бр. 53/2019г.</w:t>
            </w:r>
            <w:r w:rsidR="005A6595" w:rsidRPr="00831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ЗПУ и те включват:</w:t>
            </w:r>
          </w:p>
          <w:p w14:paraId="0DFAF23D" w14:textId="77777777" w:rsidR="003740AC" w:rsidRPr="00831C5A" w:rsidRDefault="005A6595" w:rsidP="00831C5A">
            <w:pPr>
              <w:shd w:val="clear" w:color="auto" w:fill="FFFFFF"/>
              <w:autoSpaceDE/>
              <w:autoSpaceDN/>
              <w:ind w:firstLine="604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en-US"/>
              </w:rPr>
            </w:pPr>
            <w:r w:rsidRPr="00831C5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en-US"/>
              </w:rPr>
              <w:t>1.  пряка пощенска реклама;</w:t>
            </w:r>
          </w:p>
          <w:p w14:paraId="6F2BCFDF" w14:textId="77777777" w:rsidR="003740AC" w:rsidRPr="00831C5A" w:rsidRDefault="005A6595" w:rsidP="00831C5A">
            <w:pPr>
              <w:shd w:val="clear" w:color="auto" w:fill="FFFFFF"/>
              <w:autoSpaceDE/>
              <w:autoSpaceDN/>
              <w:ind w:firstLine="604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en-US"/>
              </w:rPr>
            </w:pPr>
            <w:r w:rsidRPr="00831C5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en-US"/>
              </w:rPr>
              <w:t>2.  хибридна поща;</w:t>
            </w:r>
          </w:p>
          <w:p w14:paraId="7ED28350" w14:textId="77777777" w:rsidR="003740AC" w:rsidRPr="00831C5A" w:rsidRDefault="005A6595" w:rsidP="00831C5A">
            <w:pPr>
              <w:shd w:val="clear" w:color="auto" w:fill="FFFFFF"/>
              <w:tabs>
                <w:tab w:val="center" w:pos="4320"/>
                <w:tab w:val="right" w:pos="8640"/>
              </w:tabs>
              <w:autoSpaceDE/>
              <w:autoSpaceDN/>
              <w:ind w:firstLine="604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 w:eastAsia="en-US"/>
              </w:rPr>
            </w:pPr>
            <w:r w:rsidRPr="00831C5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en-US"/>
              </w:rPr>
              <w:t>3. куриерските услуги;</w:t>
            </w:r>
          </w:p>
          <w:p w14:paraId="6D048414" w14:textId="77777777" w:rsidR="003740AC" w:rsidRPr="00831C5A" w:rsidRDefault="005A6595" w:rsidP="00831C5A">
            <w:pPr>
              <w:shd w:val="clear" w:color="auto" w:fill="FFFFFF"/>
              <w:autoSpaceDE/>
              <w:autoSpaceDN/>
              <w:ind w:firstLine="604"/>
              <w:jc w:val="both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831C5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en-US"/>
              </w:rPr>
              <w:t>4. пощенските парични преводи</w:t>
            </w:r>
            <w:r w:rsidRPr="00831C5A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.</w:t>
            </w:r>
          </w:p>
          <w:p w14:paraId="614BE262" w14:textId="77777777" w:rsidR="003740AC" w:rsidRPr="00831C5A" w:rsidRDefault="005A6595" w:rsidP="00776A1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По отношение на данъчното третиране по ЗДДС на доставка на пощенски услуги виж писмо изх.№ ЕП-12-10-2 от 29.10.2019 г. на зам.</w:t>
            </w:r>
            <w:r w:rsidR="001C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изпълнителния директор на НАП</w:t>
            </w:r>
          </w:p>
        </w:tc>
      </w:tr>
      <w:tr w:rsidR="000E6C11" w:rsidRPr="006C7028" w14:paraId="794725E8" w14:textId="77777777" w:rsidTr="00831C5A">
        <w:trPr>
          <w:trHeight w:val="3538"/>
          <w:jc w:val="center"/>
        </w:trPr>
        <w:tc>
          <w:tcPr>
            <w:tcW w:w="1867" w:type="dxa"/>
            <w:shd w:val="thinReverseDiagStripe" w:color="FFFFFF" w:fill="FFFFFF"/>
          </w:tcPr>
          <w:p w14:paraId="150ADEE5" w14:textId="77777777" w:rsidR="0066116D" w:rsidRPr="006C7028" w:rsidRDefault="0066116D" w:rsidP="006611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стоки или услуги, за която не е ползван данъчен кредит</w:t>
            </w:r>
          </w:p>
          <w:p w14:paraId="5D15B89A" w14:textId="77777777" w:rsidR="000E6C11" w:rsidRPr="006C7028" w:rsidRDefault="00B86A2F" w:rsidP="006611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, ал.</w:t>
            </w:r>
            <w:r w:rsidR="00B369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A1E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2 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2557DBBE" w14:textId="77777777" w:rsidR="00E812FD" w:rsidRPr="006C7028" w:rsidRDefault="00E812FD" w:rsidP="00E8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Доставки на стоки или услуги, които са използвани изцяло за извършването на освободени доставки и на това основание не е било упражнено правото на приспадане на данъчен кредит по отношение на начисления данък при тяхното производство, придобиване или внос.</w:t>
            </w:r>
          </w:p>
          <w:p w14:paraId="3695BBCD" w14:textId="77777777" w:rsidR="00E812FD" w:rsidRPr="006C7028" w:rsidRDefault="00E812FD" w:rsidP="00E8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Доставки на стоки или услуги при производството, придобиването или вноса на които не е било налице правото на приспадане на данъчен кредит на основание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70 от ЗДДС.</w:t>
            </w:r>
          </w:p>
          <w:p w14:paraId="29526EA8" w14:textId="6AF2FB81" w:rsidR="00CC502D" w:rsidRPr="0099602C" w:rsidRDefault="00CC502D" w:rsidP="008D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Считано от 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последващата доставка на тези стоки или услуги няма характер на освободена доставка, когато по реда на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79б </w:t>
            </w:r>
            <w:r w:rsidR="007E51FC">
              <w:rPr>
                <w:rFonts w:ascii="Times New Roman" w:hAnsi="Times New Roman" w:cs="Times New Roman"/>
                <w:sz w:val="24"/>
                <w:szCs w:val="24"/>
              </w:rPr>
              <w:t xml:space="preserve">от ЗДДС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упражнено право на данъчен креди</w:t>
            </w:r>
            <w:r w:rsidR="008F5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чрез извършване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корекция</w:t>
            </w:r>
            <w:r w:rsidR="004A1EB4">
              <w:rPr>
                <w:rFonts w:ascii="Times New Roman" w:hAnsi="Times New Roman" w:cs="Times New Roman"/>
                <w:sz w:val="24"/>
                <w:szCs w:val="24"/>
              </w:rPr>
              <w:t xml:space="preserve"> (чл. 50, ал. 2 от ЗДДС – ДВ, бр. 94 от 2012 г., изм., бр. 97 от 2016 г., бр. 97 от 2017 г., в сила от 01.01.2018 г.) -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 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70B9A" w:rsidRPr="00DB47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5A6BEBEF" w14:textId="77777777" w:rsidR="00E812FD" w:rsidRPr="006C7028" w:rsidRDefault="00E812FD" w:rsidP="00DE6F9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39863FAD" w14:textId="77777777" w:rsidR="00A5093B" w:rsidRDefault="00A5093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FBCD6" w14:textId="77777777" w:rsidR="00C5188B" w:rsidRDefault="00C5188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36C" w14:textId="77777777" w:rsidR="00C5188B" w:rsidRDefault="00C5188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89C51" w14:textId="77777777" w:rsidR="00C5188B" w:rsidRDefault="00C5188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59634" w14:textId="3774A19C" w:rsidR="00C23CC1" w:rsidRPr="006C7028" w:rsidRDefault="005F7AC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028">
        <w:rPr>
          <w:rFonts w:ascii="Times New Roman" w:hAnsi="Times New Roman" w:cs="Times New Roman"/>
          <w:b/>
          <w:sz w:val="24"/>
          <w:szCs w:val="24"/>
        </w:rPr>
        <w:lastRenderedPageBreak/>
        <w:t>Преходни правила във връзка с променения режим на доставките</w:t>
      </w:r>
      <w:r w:rsidR="002279A7">
        <w:rPr>
          <w:rFonts w:ascii="Times New Roman" w:hAnsi="Times New Roman" w:cs="Times New Roman"/>
          <w:b/>
          <w:sz w:val="24"/>
          <w:szCs w:val="24"/>
        </w:rPr>
        <w:t>,</w:t>
      </w:r>
      <w:r w:rsidRPr="006C7028">
        <w:rPr>
          <w:rFonts w:ascii="Times New Roman" w:hAnsi="Times New Roman" w:cs="Times New Roman"/>
          <w:b/>
          <w:sz w:val="24"/>
          <w:szCs w:val="24"/>
        </w:rPr>
        <w:t xml:space="preserve"> свързани с процесуално представителство, с което се осъществява защита на физически лица</w:t>
      </w:r>
      <w:r w:rsidR="00C23CC1" w:rsidRPr="006C7028">
        <w:rPr>
          <w:rFonts w:ascii="Times New Roman" w:hAnsi="Times New Roman" w:cs="Times New Roman"/>
          <w:b/>
          <w:sz w:val="24"/>
          <w:szCs w:val="24"/>
        </w:rPr>
        <w:t xml:space="preserve"> (в сила от 01.01.2010</w:t>
      </w:r>
      <w:r w:rsidR="000B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C1" w:rsidRPr="006C7028">
        <w:rPr>
          <w:rFonts w:ascii="Times New Roman" w:hAnsi="Times New Roman" w:cs="Times New Roman"/>
          <w:b/>
          <w:sz w:val="24"/>
          <w:szCs w:val="24"/>
        </w:rPr>
        <w:t>г.)</w:t>
      </w:r>
      <w:r w:rsidR="007B7D1A">
        <w:rPr>
          <w:rFonts w:ascii="Times New Roman" w:hAnsi="Times New Roman" w:cs="Times New Roman"/>
          <w:b/>
          <w:sz w:val="24"/>
          <w:szCs w:val="24"/>
        </w:rPr>
        <w:t>.</w:t>
      </w:r>
    </w:p>
    <w:p w14:paraId="7EA0383B" w14:textId="77777777" w:rsidR="005F7ACB" w:rsidRPr="006C7028" w:rsidRDefault="005F7AC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28">
        <w:rPr>
          <w:rFonts w:ascii="Times New Roman" w:hAnsi="Times New Roman" w:cs="Times New Roman"/>
          <w:sz w:val="24"/>
          <w:szCs w:val="24"/>
        </w:rPr>
        <w:t xml:space="preserve"> Когато е получено авансово плащане до 31 декември 2009 г., включително за доставка на стока или услуга, за която с този закон е променено данъчното третиране по отношение на размера на ставката, мястото на изпълнение на доставката, приравняване на доставката на облагаема по чл. 69, ал. 2 и за която данъчното събитие възниква след тази дата, доставчикът документира доставката чрез издаване на фактура, в която посочва цялата данъчна основа на доставката. За доставката се прилага данъчният режим към датата на възникване на данъчното събитие на доставката по закона.</w:t>
      </w:r>
    </w:p>
    <w:p w14:paraId="639A2CA3" w14:textId="77777777" w:rsidR="005F7ACB" w:rsidRPr="006C7028" w:rsidRDefault="005F7ACB" w:rsidP="004E53D5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C7028">
        <w:rPr>
          <w:rFonts w:ascii="Times New Roman" w:hAnsi="Times New Roman" w:cs="Times New Roman"/>
          <w:sz w:val="24"/>
          <w:szCs w:val="24"/>
        </w:rPr>
        <w:t xml:space="preserve"> За доставките на услуги по процесуално представителство, с което се осъществява правото на защита на физически лица в досъдебни, съдебни, административни и арбитражни производства, когато са доставки с периодично или поетапно изпълнение, се прилага данъчният режим към датата на съответното данъчно събитие, определено по реда на чл. 25, ал. 4.</w:t>
      </w:r>
    </w:p>
    <w:p w14:paraId="2CAF5723" w14:textId="77777777" w:rsidR="00543EFE" w:rsidRPr="00697EBA" w:rsidRDefault="00543EFE" w:rsidP="00FC07B8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3EFE" w:rsidRPr="00697EBA" w:rsidSect="00522241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A554" w16cex:dateUtc="2020-07-07T04:40:00Z"/>
  <w16cex:commentExtensible w16cex:durableId="22AEA6F2" w16cex:dateUtc="2020-07-07T0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834A19" w16cid:durableId="22AEA554"/>
  <w16cid:commentId w16cid:paraId="55300B59" w16cid:durableId="22AEA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1B82" w14:textId="77777777" w:rsidR="000E2C66" w:rsidRDefault="000E2C66">
      <w:r>
        <w:separator/>
      </w:r>
    </w:p>
  </w:endnote>
  <w:endnote w:type="continuationSeparator" w:id="0">
    <w:p w14:paraId="213F9100" w14:textId="77777777" w:rsidR="000E2C66" w:rsidRDefault="000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F642" w14:textId="77777777" w:rsidR="004325C1" w:rsidRDefault="005A659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5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81E96" w14:textId="77777777" w:rsidR="004325C1" w:rsidRDefault="004325C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FEEE" w14:textId="77777777" w:rsidR="004325C1" w:rsidRPr="00197816" w:rsidRDefault="004325C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E0AE4">
      <w:rPr>
        <w:rFonts w:ascii="Times New Roman" w:hAnsi="Times New Roman" w:cs="Times New Roman"/>
        <w:color w:val="003366"/>
      </w:rPr>
      <w:t xml:space="preserve">НАРЪЧНИК ПО ДДС, </w:t>
    </w:r>
    <w:r w:rsidR="004D62DA" w:rsidRPr="00FE0AE4">
      <w:rPr>
        <w:rFonts w:ascii="Times New Roman" w:hAnsi="Times New Roman" w:cs="Times New Roman"/>
        <w:color w:val="003366"/>
      </w:rPr>
      <w:t>20</w:t>
    </w:r>
    <w:r w:rsidR="004D62DA">
      <w:rPr>
        <w:rFonts w:ascii="Times New Roman" w:hAnsi="Times New Roman" w:cs="Times New Roman"/>
        <w:color w:val="003366"/>
      </w:rPr>
      <w:t>20</w:t>
    </w:r>
  </w:p>
  <w:p w14:paraId="727BA62F" w14:textId="77777777" w:rsidR="004325C1" w:rsidRPr="00824EE9" w:rsidRDefault="004325C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0ABD" w14:textId="77777777" w:rsidR="000E2C66" w:rsidRDefault="000E2C66">
      <w:r>
        <w:separator/>
      </w:r>
    </w:p>
  </w:footnote>
  <w:footnote w:type="continuationSeparator" w:id="0">
    <w:p w14:paraId="2D79C479" w14:textId="77777777" w:rsidR="000E2C66" w:rsidRDefault="000E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9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08"/>
      <w:gridCol w:w="8521"/>
    </w:tblGrid>
    <w:tr w:rsidR="004325C1" w14:paraId="62BAE68A" w14:textId="77777777" w:rsidTr="00831C5A">
      <w:trPr>
        <w:cantSplit/>
        <w:trHeight w:val="734"/>
      </w:trPr>
      <w:tc>
        <w:tcPr>
          <w:tcW w:w="2308" w:type="dxa"/>
          <w:vMerge w:val="restart"/>
        </w:tcPr>
        <w:p w14:paraId="3252A214" w14:textId="77777777" w:rsidR="004325C1" w:rsidRPr="00554FAB" w:rsidRDefault="004C4B5F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6C6C555E" wp14:editId="1313F2DC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256665" cy="6762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720B428" w14:textId="77777777" w:rsidR="004325C1" w:rsidRDefault="004325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521" w:type="dxa"/>
          <w:vAlign w:val="center"/>
        </w:tcPr>
        <w:p w14:paraId="2CAC22AC" w14:textId="77777777" w:rsidR="004325C1" w:rsidRPr="00E76029" w:rsidRDefault="004325C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III.2</w:t>
          </w:r>
        </w:p>
      </w:tc>
    </w:tr>
    <w:tr w:rsidR="004325C1" w14:paraId="223FA88C" w14:textId="77777777" w:rsidTr="00831C5A">
      <w:trPr>
        <w:cantSplit/>
        <w:trHeight w:val="700"/>
      </w:trPr>
      <w:tc>
        <w:tcPr>
          <w:tcW w:w="2308" w:type="dxa"/>
          <w:vMerge/>
        </w:tcPr>
        <w:p w14:paraId="372B35F8" w14:textId="77777777" w:rsidR="004325C1" w:rsidRDefault="004325C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521" w:type="dxa"/>
          <w:vAlign w:val="center"/>
        </w:tcPr>
        <w:p w14:paraId="0FC22BE9" w14:textId="77777777" w:rsidR="004325C1" w:rsidRDefault="004325C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14:paraId="271B41B1" w14:textId="77777777" w:rsidR="004325C1" w:rsidRPr="00B97142" w:rsidRDefault="004325C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ОСВОБОДЕНИ ДОСТАВКИ - ВИДОВЕ</w:t>
          </w:r>
        </w:p>
        <w:p w14:paraId="5BB3F80B" w14:textId="77777777" w:rsidR="004325C1" w:rsidRPr="00AD598A" w:rsidRDefault="004325C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7F31C192" w14:textId="77777777" w:rsidR="004325C1" w:rsidRDefault="004325C1" w:rsidP="00886AD9">
    <w:pPr>
      <w:jc w:val="center"/>
    </w:pPr>
  </w:p>
  <w:p w14:paraId="32DBFF84" w14:textId="77777777" w:rsidR="004325C1" w:rsidRDefault="000828EF" w:rsidP="000828EF">
    <w:pPr>
      <w:pStyle w:val="Header"/>
      <w:tabs>
        <w:tab w:val="clear" w:pos="4320"/>
        <w:tab w:val="clear" w:pos="8640"/>
        <w:tab w:val="left" w:pos="1710"/>
      </w:tabs>
    </w:pPr>
    <w:r>
      <w:tab/>
    </w:r>
  </w:p>
  <w:p w14:paraId="3CE63FFF" w14:textId="77777777" w:rsidR="004325C1" w:rsidRDefault="0043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A73"/>
    <w:multiLevelType w:val="hybridMultilevel"/>
    <w:tmpl w:val="4942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0C48"/>
    <w:multiLevelType w:val="hybridMultilevel"/>
    <w:tmpl w:val="A4D4FA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767"/>
    <w:multiLevelType w:val="hybridMultilevel"/>
    <w:tmpl w:val="73A4C2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7702C"/>
    <w:multiLevelType w:val="hybridMultilevel"/>
    <w:tmpl w:val="F1A03524"/>
    <w:lvl w:ilvl="0" w:tplc="CF966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958"/>
    <w:multiLevelType w:val="hybridMultilevel"/>
    <w:tmpl w:val="92C411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E06C6"/>
    <w:multiLevelType w:val="hybridMultilevel"/>
    <w:tmpl w:val="4F0AA3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C70"/>
    <w:multiLevelType w:val="hybridMultilevel"/>
    <w:tmpl w:val="08588AE8"/>
    <w:lvl w:ilvl="0" w:tplc="78A6F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4242"/>
    <w:rsid w:val="00020E73"/>
    <w:rsid w:val="00022F0B"/>
    <w:rsid w:val="0003110C"/>
    <w:rsid w:val="00034C4F"/>
    <w:rsid w:val="00046CE8"/>
    <w:rsid w:val="00051FCB"/>
    <w:rsid w:val="00066F83"/>
    <w:rsid w:val="000704C2"/>
    <w:rsid w:val="00077487"/>
    <w:rsid w:val="000828EF"/>
    <w:rsid w:val="000926FA"/>
    <w:rsid w:val="00095714"/>
    <w:rsid w:val="000A4FE4"/>
    <w:rsid w:val="000B3882"/>
    <w:rsid w:val="000C3710"/>
    <w:rsid w:val="000C6913"/>
    <w:rsid w:val="000D082D"/>
    <w:rsid w:val="000D2286"/>
    <w:rsid w:val="000D26C7"/>
    <w:rsid w:val="000D40DC"/>
    <w:rsid w:val="000D5F15"/>
    <w:rsid w:val="000E2C66"/>
    <w:rsid w:val="000E6C11"/>
    <w:rsid w:val="001057AD"/>
    <w:rsid w:val="001279AE"/>
    <w:rsid w:val="0013414A"/>
    <w:rsid w:val="001347B4"/>
    <w:rsid w:val="00140099"/>
    <w:rsid w:val="00146A8A"/>
    <w:rsid w:val="00151759"/>
    <w:rsid w:val="00152E2A"/>
    <w:rsid w:val="0016033F"/>
    <w:rsid w:val="0016467B"/>
    <w:rsid w:val="001713CF"/>
    <w:rsid w:val="0017250D"/>
    <w:rsid w:val="00175075"/>
    <w:rsid w:val="00187082"/>
    <w:rsid w:val="00191151"/>
    <w:rsid w:val="00197816"/>
    <w:rsid w:val="001A771E"/>
    <w:rsid w:val="001B2F9D"/>
    <w:rsid w:val="001B4263"/>
    <w:rsid w:val="001B79D8"/>
    <w:rsid w:val="001C5167"/>
    <w:rsid w:val="001D1B2B"/>
    <w:rsid w:val="001D6736"/>
    <w:rsid w:val="001E1C22"/>
    <w:rsid w:val="001E68C7"/>
    <w:rsid w:val="001F2891"/>
    <w:rsid w:val="001F5DB7"/>
    <w:rsid w:val="002065BD"/>
    <w:rsid w:val="00206CFD"/>
    <w:rsid w:val="002071E3"/>
    <w:rsid w:val="00212FB9"/>
    <w:rsid w:val="00217CEA"/>
    <w:rsid w:val="002279A7"/>
    <w:rsid w:val="00230C83"/>
    <w:rsid w:val="00235D79"/>
    <w:rsid w:val="00241EAB"/>
    <w:rsid w:val="00242A24"/>
    <w:rsid w:val="002457D7"/>
    <w:rsid w:val="00252E54"/>
    <w:rsid w:val="002532AB"/>
    <w:rsid w:val="00253ED5"/>
    <w:rsid w:val="00260EB0"/>
    <w:rsid w:val="0026574D"/>
    <w:rsid w:val="00271588"/>
    <w:rsid w:val="00271803"/>
    <w:rsid w:val="00284253"/>
    <w:rsid w:val="0029040B"/>
    <w:rsid w:val="0029707C"/>
    <w:rsid w:val="002A2D05"/>
    <w:rsid w:val="002B5A4F"/>
    <w:rsid w:val="002C563F"/>
    <w:rsid w:val="002C5E0D"/>
    <w:rsid w:val="002C7ED0"/>
    <w:rsid w:val="002E1C73"/>
    <w:rsid w:val="002E642C"/>
    <w:rsid w:val="002E6CFA"/>
    <w:rsid w:val="003016F3"/>
    <w:rsid w:val="00303248"/>
    <w:rsid w:val="0031693C"/>
    <w:rsid w:val="00344B0D"/>
    <w:rsid w:val="00345EF1"/>
    <w:rsid w:val="00362239"/>
    <w:rsid w:val="003671AC"/>
    <w:rsid w:val="003740AC"/>
    <w:rsid w:val="00380930"/>
    <w:rsid w:val="00381AAB"/>
    <w:rsid w:val="003943AD"/>
    <w:rsid w:val="003953F7"/>
    <w:rsid w:val="00396A8F"/>
    <w:rsid w:val="003A1095"/>
    <w:rsid w:val="003A27D0"/>
    <w:rsid w:val="003A4D0D"/>
    <w:rsid w:val="003A5660"/>
    <w:rsid w:val="003B566A"/>
    <w:rsid w:val="003C25FD"/>
    <w:rsid w:val="003D7735"/>
    <w:rsid w:val="003E21BE"/>
    <w:rsid w:val="003F0197"/>
    <w:rsid w:val="003F01AA"/>
    <w:rsid w:val="004005F6"/>
    <w:rsid w:val="00407320"/>
    <w:rsid w:val="0041024E"/>
    <w:rsid w:val="0041067C"/>
    <w:rsid w:val="004232E0"/>
    <w:rsid w:val="004325C1"/>
    <w:rsid w:val="00443662"/>
    <w:rsid w:val="004528EE"/>
    <w:rsid w:val="00454197"/>
    <w:rsid w:val="00461F10"/>
    <w:rsid w:val="0046376C"/>
    <w:rsid w:val="00474379"/>
    <w:rsid w:val="00474482"/>
    <w:rsid w:val="00484162"/>
    <w:rsid w:val="004852A6"/>
    <w:rsid w:val="004928D2"/>
    <w:rsid w:val="0049742D"/>
    <w:rsid w:val="004A1EB4"/>
    <w:rsid w:val="004A2D90"/>
    <w:rsid w:val="004A68C9"/>
    <w:rsid w:val="004A6DEB"/>
    <w:rsid w:val="004B173E"/>
    <w:rsid w:val="004C4B5F"/>
    <w:rsid w:val="004D06C0"/>
    <w:rsid w:val="004D2E8B"/>
    <w:rsid w:val="004D62DA"/>
    <w:rsid w:val="004E53D5"/>
    <w:rsid w:val="004F668F"/>
    <w:rsid w:val="00500D42"/>
    <w:rsid w:val="00502AA8"/>
    <w:rsid w:val="0050727A"/>
    <w:rsid w:val="00522241"/>
    <w:rsid w:val="00543EFE"/>
    <w:rsid w:val="00554FAB"/>
    <w:rsid w:val="005609D7"/>
    <w:rsid w:val="005632C9"/>
    <w:rsid w:val="00570F1E"/>
    <w:rsid w:val="00576444"/>
    <w:rsid w:val="00580073"/>
    <w:rsid w:val="0058478B"/>
    <w:rsid w:val="00597913"/>
    <w:rsid w:val="005A6595"/>
    <w:rsid w:val="005B6EE6"/>
    <w:rsid w:val="005C1B98"/>
    <w:rsid w:val="005D57F1"/>
    <w:rsid w:val="005D6329"/>
    <w:rsid w:val="005E78A5"/>
    <w:rsid w:val="005F2605"/>
    <w:rsid w:val="005F2950"/>
    <w:rsid w:val="005F2C28"/>
    <w:rsid w:val="005F42EB"/>
    <w:rsid w:val="005F5481"/>
    <w:rsid w:val="005F793D"/>
    <w:rsid w:val="005F7ACB"/>
    <w:rsid w:val="00613850"/>
    <w:rsid w:val="006428FA"/>
    <w:rsid w:val="006505C7"/>
    <w:rsid w:val="00656C62"/>
    <w:rsid w:val="006575F9"/>
    <w:rsid w:val="0066116D"/>
    <w:rsid w:val="0067075E"/>
    <w:rsid w:val="00673E7D"/>
    <w:rsid w:val="00680393"/>
    <w:rsid w:val="00684B78"/>
    <w:rsid w:val="006901B5"/>
    <w:rsid w:val="006912B4"/>
    <w:rsid w:val="00697EBA"/>
    <w:rsid w:val="006B39B4"/>
    <w:rsid w:val="006C1F92"/>
    <w:rsid w:val="006C2777"/>
    <w:rsid w:val="006C4E31"/>
    <w:rsid w:val="006C7028"/>
    <w:rsid w:val="006D218A"/>
    <w:rsid w:val="006D509C"/>
    <w:rsid w:val="006D54D5"/>
    <w:rsid w:val="006D75A1"/>
    <w:rsid w:val="006E469F"/>
    <w:rsid w:val="006E7F44"/>
    <w:rsid w:val="006F613E"/>
    <w:rsid w:val="00716D21"/>
    <w:rsid w:val="007460F5"/>
    <w:rsid w:val="007509AA"/>
    <w:rsid w:val="0075403D"/>
    <w:rsid w:val="007638BD"/>
    <w:rsid w:val="00771DC2"/>
    <w:rsid w:val="00776A1F"/>
    <w:rsid w:val="00776AC5"/>
    <w:rsid w:val="00776B95"/>
    <w:rsid w:val="007772F8"/>
    <w:rsid w:val="00787FEC"/>
    <w:rsid w:val="00793ED5"/>
    <w:rsid w:val="00797507"/>
    <w:rsid w:val="007A0C30"/>
    <w:rsid w:val="007A3393"/>
    <w:rsid w:val="007B02FF"/>
    <w:rsid w:val="007B7D1A"/>
    <w:rsid w:val="007C37D1"/>
    <w:rsid w:val="007C3AD4"/>
    <w:rsid w:val="007C3B1C"/>
    <w:rsid w:val="007D2ADF"/>
    <w:rsid w:val="007E51FC"/>
    <w:rsid w:val="007F74D8"/>
    <w:rsid w:val="008150F3"/>
    <w:rsid w:val="008158A6"/>
    <w:rsid w:val="00824C80"/>
    <w:rsid w:val="00824EE9"/>
    <w:rsid w:val="00831C5A"/>
    <w:rsid w:val="00832E42"/>
    <w:rsid w:val="00844889"/>
    <w:rsid w:val="00846BB9"/>
    <w:rsid w:val="00851A73"/>
    <w:rsid w:val="008534B7"/>
    <w:rsid w:val="00853B0C"/>
    <w:rsid w:val="0086296A"/>
    <w:rsid w:val="0086654C"/>
    <w:rsid w:val="008708C2"/>
    <w:rsid w:val="00871FA3"/>
    <w:rsid w:val="008816D5"/>
    <w:rsid w:val="00884E00"/>
    <w:rsid w:val="00886AD9"/>
    <w:rsid w:val="0088705D"/>
    <w:rsid w:val="0089060D"/>
    <w:rsid w:val="008B1531"/>
    <w:rsid w:val="008B3F79"/>
    <w:rsid w:val="008B54C8"/>
    <w:rsid w:val="008B7BF4"/>
    <w:rsid w:val="008C2010"/>
    <w:rsid w:val="008D2CCD"/>
    <w:rsid w:val="008D349E"/>
    <w:rsid w:val="008D7696"/>
    <w:rsid w:val="008E1DBB"/>
    <w:rsid w:val="008E5AC6"/>
    <w:rsid w:val="008F52CC"/>
    <w:rsid w:val="008F5764"/>
    <w:rsid w:val="008F60A1"/>
    <w:rsid w:val="00906A45"/>
    <w:rsid w:val="009126C7"/>
    <w:rsid w:val="009157C6"/>
    <w:rsid w:val="00925862"/>
    <w:rsid w:val="009270AD"/>
    <w:rsid w:val="009300DF"/>
    <w:rsid w:val="00934C7E"/>
    <w:rsid w:val="0093578D"/>
    <w:rsid w:val="00935D59"/>
    <w:rsid w:val="009530F2"/>
    <w:rsid w:val="009537D1"/>
    <w:rsid w:val="0096101F"/>
    <w:rsid w:val="0096115E"/>
    <w:rsid w:val="009618ED"/>
    <w:rsid w:val="0096234E"/>
    <w:rsid w:val="00962446"/>
    <w:rsid w:val="0096374B"/>
    <w:rsid w:val="0096488F"/>
    <w:rsid w:val="0096503E"/>
    <w:rsid w:val="009672E3"/>
    <w:rsid w:val="00970036"/>
    <w:rsid w:val="00975A03"/>
    <w:rsid w:val="00975FDE"/>
    <w:rsid w:val="00982CAD"/>
    <w:rsid w:val="00986C8E"/>
    <w:rsid w:val="0099602C"/>
    <w:rsid w:val="009D1A37"/>
    <w:rsid w:val="009D598B"/>
    <w:rsid w:val="009E5AEA"/>
    <w:rsid w:val="00A0074E"/>
    <w:rsid w:val="00A07191"/>
    <w:rsid w:val="00A07EBF"/>
    <w:rsid w:val="00A11873"/>
    <w:rsid w:val="00A17902"/>
    <w:rsid w:val="00A179A3"/>
    <w:rsid w:val="00A214AE"/>
    <w:rsid w:val="00A23EA2"/>
    <w:rsid w:val="00A31428"/>
    <w:rsid w:val="00A423FC"/>
    <w:rsid w:val="00A50638"/>
    <w:rsid w:val="00A5093B"/>
    <w:rsid w:val="00A51CF6"/>
    <w:rsid w:val="00A52F0D"/>
    <w:rsid w:val="00A54C5A"/>
    <w:rsid w:val="00A606A8"/>
    <w:rsid w:val="00A6388F"/>
    <w:rsid w:val="00A65351"/>
    <w:rsid w:val="00A7467D"/>
    <w:rsid w:val="00A82110"/>
    <w:rsid w:val="00A829E6"/>
    <w:rsid w:val="00A87B04"/>
    <w:rsid w:val="00A90DFD"/>
    <w:rsid w:val="00AA53E6"/>
    <w:rsid w:val="00AB5396"/>
    <w:rsid w:val="00AB62D2"/>
    <w:rsid w:val="00AC2D05"/>
    <w:rsid w:val="00AC5BF3"/>
    <w:rsid w:val="00AC5DFA"/>
    <w:rsid w:val="00AC702B"/>
    <w:rsid w:val="00AD1D39"/>
    <w:rsid w:val="00AD598A"/>
    <w:rsid w:val="00AD6DFA"/>
    <w:rsid w:val="00AD7889"/>
    <w:rsid w:val="00AE33D7"/>
    <w:rsid w:val="00AE36EB"/>
    <w:rsid w:val="00AE4207"/>
    <w:rsid w:val="00AE5E13"/>
    <w:rsid w:val="00AF5916"/>
    <w:rsid w:val="00B066F3"/>
    <w:rsid w:val="00B10066"/>
    <w:rsid w:val="00B1159B"/>
    <w:rsid w:val="00B12B33"/>
    <w:rsid w:val="00B178C4"/>
    <w:rsid w:val="00B23452"/>
    <w:rsid w:val="00B330A3"/>
    <w:rsid w:val="00B369FC"/>
    <w:rsid w:val="00B4346A"/>
    <w:rsid w:val="00B4502D"/>
    <w:rsid w:val="00B45AC8"/>
    <w:rsid w:val="00B45BE0"/>
    <w:rsid w:val="00B50A8B"/>
    <w:rsid w:val="00B575EC"/>
    <w:rsid w:val="00B6134E"/>
    <w:rsid w:val="00B667EB"/>
    <w:rsid w:val="00B70B9A"/>
    <w:rsid w:val="00B715E8"/>
    <w:rsid w:val="00B71AA7"/>
    <w:rsid w:val="00B7797D"/>
    <w:rsid w:val="00B8272F"/>
    <w:rsid w:val="00B86A2F"/>
    <w:rsid w:val="00B93AC0"/>
    <w:rsid w:val="00B95E0F"/>
    <w:rsid w:val="00B97142"/>
    <w:rsid w:val="00BA6C04"/>
    <w:rsid w:val="00BA752B"/>
    <w:rsid w:val="00BA79D1"/>
    <w:rsid w:val="00BA7BD6"/>
    <w:rsid w:val="00BA7F68"/>
    <w:rsid w:val="00BB28B4"/>
    <w:rsid w:val="00BB74BB"/>
    <w:rsid w:val="00BC055C"/>
    <w:rsid w:val="00BC441F"/>
    <w:rsid w:val="00BD4367"/>
    <w:rsid w:val="00BE43EF"/>
    <w:rsid w:val="00C04ABD"/>
    <w:rsid w:val="00C05638"/>
    <w:rsid w:val="00C07784"/>
    <w:rsid w:val="00C10EDA"/>
    <w:rsid w:val="00C12C9D"/>
    <w:rsid w:val="00C13FF6"/>
    <w:rsid w:val="00C15F8B"/>
    <w:rsid w:val="00C1648D"/>
    <w:rsid w:val="00C21AD9"/>
    <w:rsid w:val="00C23CC1"/>
    <w:rsid w:val="00C23F1F"/>
    <w:rsid w:val="00C336FA"/>
    <w:rsid w:val="00C37425"/>
    <w:rsid w:val="00C37C18"/>
    <w:rsid w:val="00C40AE7"/>
    <w:rsid w:val="00C5188B"/>
    <w:rsid w:val="00C521A8"/>
    <w:rsid w:val="00C60575"/>
    <w:rsid w:val="00C63538"/>
    <w:rsid w:val="00C63DAE"/>
    <w:rsid w:val="00C64C0C"/>
    <w:rsid w:val="00C72A94"/>
    <w:rsid w:val="00C857B9"/>
    <w:rsid w:val="00C859B6"/>
    <w:rsid w:val="00C901CC"/>
    <w:rsid w:val="00C94737"/>
    <w:rsid w:val="00C97098"/>
    <w:rsid w:val="00CA7D15"/>
    <w:rsid w:val="00CB7171"/>
    <w:rsid w:val="00CC229F"/>
    <w:rsid w:val="00CC502D"/>
    <w:rsid w:val="00CD0370"/>
    <w:rsid w:val="00CD2F9F"/>
    <w:rsid w:val="00CE5E32"/>
    <w:rsid w:val="00CF53EA"/>
    <w:rsid w:val="00CF63DB"/>
    <w:rsid w:val="00D00288"/>
    <w:rsid w:val="00D04F2C"/>
    <w:rsid w:val="00D05B48"/>
    <w:rsid w:val="00D10CBB"/>
    <w:rsid w:val="00D15282"/>
    <w:rsid w:val="00D174C6"/>
    <w:rsid w:val="00D17B56"/>
    <w:rsid w:val="00D2062C"/>
    <w:rsid w:val="00D21132"/>
    <w:rsid w:val="00D235CA"/>
    <w:rsid w:val="00D27FDB"/>
    <w:rsid w:val="00D307DD"/>
    <w:rsid w:val="00D428C5"/>
    <w:rsid w:val="00D45150"/>
    <w:rsid w:val="00D45E8F"/>
    <w:rsid w:val="00D47E98"/>
    <w:rsid w:val="00D50E55"/>
    <w:rsid w:val="00D514A0"/>
    <w:rsid w:val="00D565C4"/>
    <w:rsid w:val="00D71354"/>
    <w:rsid w:val="00D7217D"/>
    <w:rsid w:val="00D87BB4"/>
    <w:rsid w:val="00D962E1"/>
    <w:rsid w:val="00DA6EB0"/>
    <w:rsid w:val="00DB3A58"/>
    <w:rsid w:val="00DB47FA"/>
    <w:rsid w:val="00DB7B31"/>
    <w:rsid w:val="00DD014F"/>
    <w:rsid w:val="00DD25AE"/>
    <w:rsid w:val="00DD2ADD"/>
    <w:rsid w:val="00DD6077"/>
    <w:rsid w:val="00DD6716"/>
    <w:rsid w:val="00DD7A89"/>
    <w:rsid w:val="00DD7B85"/>
    <w:rsid w:val="00DE39AF"/>
    <w:rsid w:val="00DE3D1E"/>
    <w:rsid w:val="00DE48BF"/>
    <w:rsid w:val="00DE62B4"/>
    <w:rsid w:val="00DE6F9D"/>
    <w:rsid w:val="00DF41A1"/>
    <w:rsid w:val="00E10D18"/>
    <w:rsid w:val="00E24AAF"/>
    <w:rsid w:val="00E27959"/>
    <w:rsid w:val="00E30DBB"/>
    <w:rsid w:val="00E3196E"/>
    <w:rsid w:val="00E31BBF"/>
    <w:rsid w:val="00E5247D"/>
    <w:rsid w:val="00E53381"/>
    <w:rsid w:val="00E6516E"/>
    <w:rsid w:val="00E67294"/>
    <w:rsid w:val="00E673A0"/>
    <w:rsid w:val="00E72193"/>
    <w:rsid w:val="00E7474F"/>
    <w:rsid w:val="00E76029"/>
    <w:rsid w:val="00E76038"/>
    <w:rsid w:val="00E812FD"/>
    <w:rsid w:val="00E8257C"/>
    <w:rsid w:val="00EA2748"/>
    <w:rsid w:val="00EB6512"/>
    <w:rsid w:val="00EC193A"/>
    <w:rsid w:val="00ED0DC9"/>
    <w:rsid w:val="00ED14A9"/>
    <w:rsid w:val="00ED46F6"/>
    <w:rsid w:val="00EF0CBD"/>
    <w:rsid w:val="00EF3D8D"/>
    <w:rsid w:val="00F01DFC"/>
    <w:rsid w:val="00F07F80"/>
    <w:rsid w:val="00F12BA5"/>
    <w:rsid w:val="00F1492F"/>
    <w:rsid w:val="00F16AFF"/>
    <w:rsid w:val="00F2037E"/>
    <w:rsid w:val="00F20ED2"/>
    <w:rsid w:val="00F22549"/>
    <w:rsid w:val="00F25824"/>
    <w:rsid w:val="00F431A3"/>
    <w:rsid w:val="00F43963"/>
    <w:rsid w:val="00F45EC8"/>
    <w:rsid w:val="00F6514C"/>
    <w:rsid w:val="00F65CF6"/>
    <w:rsid w:val="00F70A0F"/>
    <w:rsid w:val="00F71BC8"/>
    <w:rsid w:val="00F937BC"/>
    <w:rsid w:val="00F9405E"/>
    <w:rsid w:val="00F94C90"/>
    <w:rsid w:val="00FA208B"/>
    <w:rsid w:val="00FA2728"/>
    <w:rsid w:val="00FA4A73"/>
    <w:rsid w:val="00FC07B8"/>
    <w:rsid w:val="00FC1F90"/>
    <w:rsid w:val="00FE0AE4"/>
    <w:rsid w:val="00FE108E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71A32A14"/>
  <w15:docId w15:val="{87D0AF3D-AE8F-4EE6-B726-82ED342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customStyle="1" w:styleId="Char">
    <w:name w:val="Char"/>
    <w:basedOn w:val="Normal"/>
    <w:rsid w:val="001D1B2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5F7ACB"/>
    <w:rPr>
      <w:i w:val="0"/>
      <w:iCs w:val="0"/>
      <w:color w:val="8B0000"/>
      <w:u w:val="single"/>
    </w:rPr>
  </w:style>
  <w:style w:type="paragraph" w:styleId="BalloonText">
    <w:name w:val="Balloon Text"/>
    <w:basedOn w:val="Normal"/>
    <w:semiHidden/>
    <w:rsid w:val="001B2F9D"/>
    <w:rPr>
      <w:rFonts w:ascii="Tahoma" w:hAnsi="Tahoma" w:cs="Tahoma"/>
      <w:sz w:val="16"/>
      <w:szCs w:val="16"/>
    </w:rPr>
  </w:style>
  <w:style w:type="character" w:styleId="Hyperlink">
    <w:name w:val="Hyperlink"/>
    <w:rsid w:val="008534B7"/>
    <w:rPr>
      <w:color w:val="0000FF"/>
      <w:u w:val="single"/>
    </w:rPr>
  </w:style>
  <w:style w:type="character" w:customStyle="1" w:styleId="ala2">
    <w:name w:val="al_a2"/>
    <w:rsid w:val="008534B7"/>
    <w:rPr>
      <w:vanish w:val="0"/>
      <w:webHidden w:val="0"/>
      <w:specVanish w:val="0"/>
    </w:rPr>
  </w:style>
  <w:style w:type="character" w:customStyle="1" w:styleId="alcaptincomingsubparagraphlink">
    <w:name w:val="al_capt incomingsubparagraphlink"/>
    <w:basedOn w:val="DefaultParagraphFont"/>
    <w:rsid w:val="008534B7"/>
  </w:style>
  <w:style w:type="character" w:customStyle="1" w:styleId="articlehistory1">
    <w:name w:val="article_history1"/>
    <w:basedOn w:val="DefaultParagraphFont"/>
    <w:rsid w:val="008534B7"/>
  </w:style>
  <w:style w:type="character" w:customStyle="1" w:styleId="historyitem">
    <w:name w:val="historyitem"/>
    <w:rsid w:val="00EA2748"/>
  </w:style>
  <w:style w:type="character" w:customStyle="1" w:styleId="historyitemselected1">
    <w:name w:val="historyitemselected1"/>
    <w:rsid w:val="00EA2748"/>
    <w:rPr>
      <w:b/>
      <w:bCs/>
      <w:color w:val="0086C6"/>
    </w:rPr>
  </w:style>
  <w:style w:type="character" w:customStyle="1" w:styleId="search01">
    <w:name w:val="search01"/>
    <w:rsid w:val="006D509C"/>
    <w:rPr>
      <w:shd w:val="clear" w:color="auto" w:fill="FFFF66"/>
    </w:rPr>
  </w:style>
  <w:style w:type="character" w:customStyle="1" w:styleId="search02">
    <w:name w:val="search02"/>
    <w:rsid w:val="006D509C"/>
    <w:rPr>
      <w:shd w:val="clear" w:color="auto" w:fill="FFFF66"/>
    </w:rPr>
  </w:style>
  <w:style w:type="character" w:customStyle="1" w:styleId="newdocreference1">
    <w:name w:val="newdocreference1"/>
    <w:rsid w:val="00C63538"/>
    <w:rPr>
      <w:i w:val="0"/>
      <w:iCs w:val="0"/>
      <w:color w:val="0000FF"/>
      <w:u w:val="single"/>
    </w:rPr>
  </w:style>
  <w:style w:type="paragraph" w:styleId="CommentText">
    <w:name w:val="annotation text"/>
    <w:basedOn w:val="Normal"/>
    <w:link w:val="CommentTextChar"/>
    <w:rsid w:val="00DA6EB0"/>
  </w:style>
  <w:style w:type="character" w:customStyle="1" w:styleId="CommentTextChar">
    <w:name w:val="Comment Text Char"/>
    <w:basedOn w:val="DefaultParagraphFont"/>
    <w:link w:val="CommentText"/>
    <w:rsid w:val="00DA6EB0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DA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EB0"/>
    <w:rPr>
      <w:rFonts w:ascii="A4U" w:hAnsi="A4U" w:cs="A4U"/>
      <w:b/>
      <w:bCs/>
    </w:rPr>
  </w:style>
  <w:style w:type="paragraph" w:styleId="ListParagraph">
    <w:name w:val="List Paragraph"/>
    <w:basedOn w:val="Normal"/>
    <w:uiPriority w:val="34"/>
    <w:qFormat/>
    <w:rsid w:val="00F20ED2"/>
    <w:pPr>
      <w:ind w:left="720"/>
      <w:contextualSpacing/>
    </w:pPr>
  </w:style>
  <w:style w:type="paragraph" w:customStyle="1" w:styleId="Default">
    <w:name w:val="Default"/>
    <w:rsid w:val="00F12B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6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76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D21B-F1A6-4F48-B5FF-E7261D3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4431</Words>
  <Characters>23780</Characters>
  <Application>Microsoft Office Word</Application>
  <DocSecurity>0</DocSecurity>
  <Lines>198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28155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javascript:top.doccontent_selector.fnNavigate('чл79_ал8');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6</cp:revision>
  <cp:lastPrinted>2007-07-13T12:41:00Z</cp:lastPrinted>
  <dcterms:created xsi:type="dcterms:W3CDTF">2020-09-21T14:15:00Z</dcterms:created>
  <dcterms:modified xsi:type="dcterms:W3CDTF">2020-09-28T07:50:00Z</dcterms:modified>
</cp:coreProperties>
</file>