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758" w:rsidRPr="00DD2758" w:rsidRDefault="00DD2758" w:rsidP="00DD2758">
      <w:pPr>
        <w:spacing w:line="360" w:lineRule="auto"/>
        <w:ind w:right="-113" w:firstLine="708"/>
        <w:jc w:val="both"/>
        <w:rPr>
          <w:rFonts w:ascii="Times New Roman" w:hAnsi="Times New Roman"/>
          <w:b/>
          <w:sz w:val="24"/>
          <w:szCs w:val="24"/>
        </w:rPr>
      </w:pPr>
      <w:smartTag w:uri="urn:schemas-microsoft-com:office:smarttags" w:element="place">
        <w:r w:rsidRPr="00DD2758">
          <w:rPr>
            <w:rFonts w:ascii="Times New Roman" w:hAnsi="Times New Roman"/>
            <w:b/>
            <w:sz w:val="24"/>
            <w:szCs w:val="24"/>
            <w:lang w:val="en-US"/>
          </w:rPr>
          <w:t>I</w:t>
        </w:r>
        <w:r w:rsidRPr="00DD2758">
          <w:rPr>
            <w:rFonts w:ascii="Times New Roman" w:hAnsi="Times New Roman"/>
            <w:b/>
            <w:sz w:val="24"/>
            <w:szCs w:val="24"/>
          </w:rPr>
          <w:t>.</w:t>
        </w:r>
      </w:smartTag>
      <w:r w:rsidRPr="00DD2758">
        <w:rPr>
          <w:rFonts w:ascii="Times New Roman" w:hAnsi="Times New Roman"/>
          <w:b/>
          <w:sz w:val="24"/>
          <w:szCs w:val="24"/>
        </w:rPr>
        <w:t xml:space="preserve"> ПРАВО НА ПРИСПАДАНЕ НА ЧАСТИЧЕН ДАНЪЧЕН КРЕДИТ</w:t>
      </w:r>
    </w:p>
    <w:p w:rsidR="00DD2758" w:rsidRDefault="00DD2758" w:rsidP="00DD2758">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Регистрирано лице има право на приспадане на частичен данъчен кредит по отношение на данъка за стоки или услуги, които се използват както за извършване на доставки, за които лицето има право на приспадане на данъчен кредит, така и за доставки или дейности, за които лицето няма такова право.</w:t>
      </w:r>
    </w:p>
    <w:p w:rsidR="006F6593" w:rsidRPr="00950505" w:rsidRDefault="006F6593" w:rsidP="00DD2758">
      <w:pPr>
        <w:spacing w:line="360" w:lineRule="auto"/>
        <w:ind w:right="-113" w:firstLine="708"/>
        <w:jc w:val="both"/>
        <w:rPr>
          <w:rFonts w:ascii="Times New Roman" w:hAnsi="Times New Roman" w:cs="Times New Roman"/>
          <w:sz w:val="24"/>
          <w:szCs w:val="24"/>
        </w:rPr>
      </w:pPr>
    </w:p>
    <w:p w:rsidR="006F6593" w:rsidRPr="006F6593" w:rsidRDefault="006F6593" w:rsidP="00DD2758">
      <w:pPr>
        <w:spacing w:line="360" w:lineRule="auto"/>
        <w:ind w:right="-113" w:firstLine="708"/>
        <w:jc w:val="both"/>
        <w:rPr>
          <w:rFonts w:ascii="Times New Roman" w:hAnsi="Times New Roman" w:cs="Times New Roman"/>
          <w:b/>
          <w:sz w:val="24"/>
          <w:szCs w:val="24"/>
        </w:rPr>
      </w:pPr>
      <w:r w:rsidRPr="006F6593">
        <w:rPr>
          <w:rFonts w:ascii="Times New Roman" w:hAnsi="Times New Roman" w:cs="Times New Roman"/>
          <w:b/>
          <w:sz w:val="24"/>
          <w:szCs w:val="24"/>
          <w:lang w:val="en-US"/>
        </w:rPr>
        <w:t>II</w:t>
      </w:r>
      <w:r w:rsidRPr="006F6593">
        <w:rPr>
          <w:rFonts w:ascii="Times New Roman" w:hAnsi="Times New Roman" w:cs="Times New Roman"/>
          <w:b/>
          <w:sz w:val="24"/>
          <w:szCs w:val="24"/>
        </w:rPr>
        <w:t>. ОБОСОБЯВАНЕ НА СЕКТОРИ НА ДЕЙНОСТ</w:t>
      </w:r>
    </w:p>
    <w:p w:rsidR="00913DB7" w:rsidRDefault="00913DB7" w:rsidP="00913DB7">
      <w:pPr>
        <w:jc w:val="right"/>
        <w:rPr>
          <w:lang w:val="ru-RU"/>
        </w:rPr>
      </w:pPr>
    </w:p>
    <w:p w:rsidR="006F6593" w:rsidRPr="006F6593" w:rsidRDefault="00101C8F" w:rsidP="006F6593">
      <w:pPr>
        <w:spacing w:line="360" w:lineRule="auto"/>
        <w:ind w:right="-113"/>
        <w:jc w:val="both"/>
        <w:rPr>
          <w:rFonts w:ascii="Times New Roman" w:hAnsi="Times New Roman" w:cs="Times New Roman"/>
          <w:b/>
          <w:sz w:val="24"/>
          <w:szCs w:val="24"/>
          <w:lang w:val="ru-RU"/>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135890</wp:posOffset>
                </wp:positionV>
                <wp:extent cx="5257800" cy="2171700"/>
                <wp:effectExtent l="0" t="0" r="19050" b="1905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1717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DE421D" w:rsidRDefault="00DE421D" w:rsidP="006F6593">
                            <w:pPr>
                              <w:rPr>
                                <w:rFonts w:ascii="Times New Roman" w:hAnsi="Times New Roman" w:cs="Times New Roman"/>
                                <w:bCs/>
                                <w:sz w:val="24"/>
                                <w:szCs w:val="24"/>
                              </w:rPr>
                            </w:pPr>
                          </w:p>
                          <w:p w:rsidR="00DE421D" w:rsidRPr="00255B59" w:rsidRDefault="00DE421D" w:rsidP="006F6593">
                            <w:pPr>
                              <w:numPr>
                                <w:ilvl w:val="0"/>
                                <w:numId w:val="22"/>
                              </w:numPr>
                              <w:jc w:val="both"/>
                              <w:rPr>
                                <w:rFonts w:ascii="Times New Roman" w:hAnsi="Times New Roman" w:cs="Times New Roman"/>
                                <w:sz w:val="24"/>
                                <w:szCs w:val="24"/>
                              </w:rPr>
                            </w:pPr>
                            <w:r w:rsidRPr="00255B59">
                              <w:rPr>
                                <w:rFonts w:ascii="Times New Roman" w:hAnsi="Times New Roman" w:cs="Times New Roman"/>
                                <w:sz w:val="24"/>
                                <w:szCs w:val="24"/>
                              </w:rPr>
                              <w:t>Когато едно лице извършва различни дейности, които не се третират по идентичен начин от ДДС законодателството</w:t>
                            </w:r>
                            <w:r w:rsidR="00BE13AA">
                              <w:rPr>
                                <w:rFonts w:ascii="Times New Roman" w:hAnsi="Times New Roman" w:cs="Times New Roman"/>
                                <w:sz w:val="24"/>
                                <w:szCs w:val="24"/>
                              </w:rPr>
                              <w:t>,</w:t>
                            </w:r>
                            <w:r w:rsidRPr="00255B59">
                              <w:rPr>
                                <w:rFonts w:ascii="Times New Roman" w:hAnsi="Times New Roman" w:cs="Times New Roman"/>
                                <w:sz w:val="24"/>
                                <w:szCs w:val="24"/>
                              </w:rPr>
                              <w:t xml:space="preserve"> то може да ги обособи по сектори</w:t>
                            </w:r>
                            <w:r w:rsidR="00BE13AA">
                              <w:rPr>
                                <w:rFonts w:ascii="Times New Roman" w:hAnsi="Times New Roman" w:cs="Times New Roman"/>
                                <w:sz w:val="24"/>
                                <w:szCs w:val="24"/>
                              </w:rPr>
                              <w:t>,</w:t>
                            </w:r>
                            <w:r w:rsidRPr="00255B59">
                              <w:rPr>
                                <w:rFonts w:ascii="Times New Roman" w:hAnsi="Times New Roman" w:cs="Times New Roman"/>
                                <w:sz w:val="24"/>
                                <w:szCs w:val="24"/>
                              </w:rPr>
                              <w:t xml:space="preserve"> в зависимост от вида на дейността</w:t>
                            </w:r>
                          </w:p>
                          <w:p w:rsidR="00DE421D" w:rsidRDefault="00DE421D" w:rsidP="006F6593">
                            <w:pPr>
                              <w:numPr>
                                <w:ilvl w:val="0"/>
                                <w:numId w:val="22"/>
                              </w:numPr>
                              <w:jc w:val="both"/>
                              <w:rPr>
                                <w:rFonts w:ascii="Times New Roman" w:hAnsi="Times New Roman" w:cs="Times New Roman"/>
                                <w:sz w:val="24"/>
                                <w:szCs w:val="24"/>
                              </w:rPr>
                            </w:pPr>
                            <w:r w:rsidRPr="00255B59">
                              <w:rPr>
                                <w:rFonts w:ascii="Times New Roman" w:hAnsi="Times New Roman" w:cs="Times New Roman"/>
                                <w:sz w:val="24"/>
                                <w:szCs w:val="24"/>
                              </w:rPr>
                              <w:t>Обособяването на отделни сектори на дейност не е задължително, но счетоводната отчетност трябва да е достатъчна за установяване на задълженията на лицето за данък върху добавената стойност</w:t>
                            </w:r>
                          </w:p>
                          <w:p w:rsidR="00DE421D" w:rsidRPr="006F6593" w:rsidRDefault="00DE421D" w:rsidP="006F6593">
                            <w:pPr>
                              <w:numPr>
                                <w:ilvl w:val="0"/>
                                <w:numId w:val="22"/>
                              </w:numPr>
                              <w:jc w:val="both"/>
                              <w:rPr>
                                <w:rFonts w:ascii="Times New Roman" w:hAnsi="Times New Roman" w:cs="Times New Roman"/>
                                <w:sz w:val="24"/>
                                <w:szCs w:val="24"/>
                              </w:rPr>
                            </w:pPr>
                            <w:r w:rsidRPr="00C23E7E">
                              <w:rPr>
                                <w:rFonts w:ascii="Times New Roman" w:hAnsi="Times New Roman" w:cs="Times New Roman"/>
                                <w:sz w:val="24"/>
                                <w:szCs w:val="24"/>
                              </w:rPr>
                              <w:t>Счетоводната отчетност трябва да дава възможност за проследява</w:t>
                            </w:r>
                            <w:r w:rsidR="00BE13AA">
                              <w:rPr>
                                <w:rFonts w:ascii="Times New Roman" w:hAnsi="Times New Roman" w:cs="Times New Roman"/>
                                <w:sz w:val="24"/>
                                <w:szCs w:val="24"/>
                              </w:rPr>
                              <w:t>не</w:t>
                            </w:r>
                            <w:r w:rsidRPr="00C23E7E">
                              <w:rPr>
                                <w:rFonts w:ascii="Times New Roman" w:hAnsi="Times New Roman" w:cs="Times New Roman"/>
                                <w:sz w:val="24"/>
                                <w:szCs w:val="24"/>
                              </w:rPr>
                              <w:t xml:space="preserve"> поотделно за всеки сектор</w:t>
                            </w:r>
                            <w:r w:rsidR="00BE13AA">
                              <w:rPr>
                                <w:rFonts w:ascii="Times New Roman" w:hAnsi="Times New Roman" w:cs="Times New Roman"/>
                                <w:sz w:val="24"/>
                                <w:szCs w:val="24"/>
                              </w:rPr>
                              <w:t xml:space="preserve"> на</w:t>
                            </w:r>
                            <w:r w:rsidRPr="00C23E7E">
                              <w:rPr>
                                <w:rFonts w:ascii="Times New Roman" w:hAnsi="Times New Roman" w:cs="Times New Roman"/>
                                <w:sz w:val="24"/>
                                <w:szCs w:val="24"/>
                              </w:rPr>
                              <w:t xml:space="preserve"> покупките на стоки и услуги, размерът на облагаемите и ос</w:t>
                            </w:r>
                            <w:bookmarkStart w:id="0" w:name="_GoBack"/>
                            <w:bookmarkEnd w:id="0"/>
                            <w:r w:rsidRPr="00C23E7E">
                              <w:rPr>
                                <w:rFonts w:ascii="Times New Roman" w:hAnsi="Times New Roman" w:cs="Times New Roman"/>
                                <w:sz w:val="24"/>
                                <w:szCs w:val="24"/>
                              </w:rPr>
                              <w:t>вободените доставки, продажбата на дълготрайни активи, както и прехвърлянето им към други сектори на дейност</w:t>
                            </w:r>
                          </w:p>
                          <w:p w:rsidR="00DE421D" w:rsidRPr="00255B59" w:rsidRDefault="00DE421D" w:rsidP="006F6593">
                            <w:pPr>
                              <w:autoSpaceDE/>
                              <w:autoSpaceDN/>
                              <w:rPr>
                                <w:rFonts w:ascii="Times New Roman" w:hAnsi="Times New Roman" w:cs="Times New Roman"/>
                                <w:sz w:val="24"/>
                                <w:szCs w:val="24"/>
                              </w:rPr>
                            </w:pPr>
                          </w:p>
                          <w:p w:rsidR="00DE421D" w:rsidRPr="00B057A8" w:rsidRDefault="00DE421D" w:rsidP="006F65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left:0;text-align:left;margin-left:27pt;margin-top:10.7pt;width:414pt;height:1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" strokecolor="#ddd" strokeweight="1pt">
                <v:fill color2="#ddd" rotate="t" focus="100%" type="gradient"/>
                <v:textbox>
                  <w:txbxContent>
                    <w:p w:rsidR="00DE421D" w:rsidRDefault="00DE421D" w:rsidP="006F6593">
                      <w:pPr>
                        <w:rPr>
                          <w:rFonts w:ascii="Times New Roman" w:hAnsi="Times New Roman" w:cs="Times New Roman"/>
                          <w:bCs/>
                          <w:sz w:val="24"/>
                          <w:szCs w:val="24"/>
                        </w:rPr>
                      </w:pPr>
                    </w:p>
                    <w:p w:rsidR="00DE421D" w:rsidRPr="00255B59" w:rsidRDefault="00DE421D" w:rsidP="006F6593">
                      <w:pPr>
                        <w:numPr>
                          <w:ilvl w:val="0"/>
                          <w:numId w:val="22"/>
                        </w:numPr>
                        <w:jc w:val="both"/>
                        <w:rPr>
                          <w:rFonts w:ascii="Times New Roman" w:hAnsi="Times New Roman" w:cs="Times New Roman"/>
                          <w:sz w:val="24"/>
                          <w:szCs w:val="24"/>
                        </w:rPr>
                      </w:pPr>
                      <w:r w:rsidRPr="00255B59">
                        <w:rPr>
                          <w:rFonts w:ascii="Times New Roman" w:hAnsi="Times New Roman" w:cs="Times New Roman"/>
                          <w:sz w:val="24"/>
                          <w:szCs w:val="24"/>
                        </w:rPr>
                        <w:t>Когато едно лице извършва различни дейности, които не се третират по идентичен начин от ДДС законодателството</w:t>
                      </w:r>
                      <w:r w:rsidR="00BE13AA">
                        <w:rPr>
                          <w:rFonts w:ascii="Times New Roman" w:hAnsi="Times New Roman" w:cs="Times New Roman"/>
                          <w:sz w:val="24"/>
                          <w:szCs w:val="24"/>
                        </w:rPr>
                        <w:t>,</w:t>
                      </w:r>
                      <w:r w:rsidRPr="00255B59">
                        <w:rPr>
                          <w:rFonts w:ascii="Times New Roman" w:hAnsi="Times New Roman" w:cs="Times New Roman"/>
                          <w:sz w:val="24"/>
                          <w:szCs w:val="24"/>
                        </w:rPr>
                        <w:t xml:space="preserve"> то може да ги обособи по сектори</w:t>
                      </w:r>
                      <w:r w:rsidR="00BE13AA">
                        <w:rPr>
                          <w:rFonts w:ascii="Times New Roman" w:hAnsi="Times New Roman" w:cs="Times New Roman"/>
                          <w:sz w:val="24"/>
                          <w:szCs w:val="24"/>
                        </w:rPr>
                        <w:t>,</w:t>
                      </w:r>
                      <w:r w:rsidRPr="00255B59">
                        <w:rPr>
                          <w:rFonts w:ascii="Times New Roman" w:hAnsi="Times New Roman" w:cs="Times New Roman"/>
                          <w:sz w:val="24"/>
                          <w:szCs w:val="24"/>
                        </w:rPr>
                        <w:t xml:space="preserve"> в зависимост от вида на дейността</w:t>
                      </w:r>
                    </w:p>
                    <w:p w:rsidR="00DE421D" w:rsidRDefault="00DE421D" w:rsidP="006F6593">
                      <w:pPr>
                        <w:numPr>
                          <w:ilvl w:val="0"/>
                          <w:numId w:val="22"/>
                        </w:numPr>
                        <w:jc w:val="both"/>
                        <w:rPr>
                          <w:rFonts w:ascii="Times New Roman" w:hAnsi="Times New Roman" w:cs="Times New Roman"/>
                          <w:sz w:val="24"/>
                          <w:szCs w:val="24"/>
                        </w:rPr>
                      </w:pPr>
                      <w:r w:rsidRPr="00255B59">
                        <w:rPr>
                          <w:rFonts w:ascii="Times New Roman" w:hAnsi="Times New Roman" w:cs="Times New Roman"/>
                          <w:sz w:val="24"/>
                          <w:szCs w:val="24"/>
                        </w:rPr>
                        <w:t>Обособяването на отделни сектори на дейност не е задължително, но счетоводната отчетност трябва да е достатъчна за установяване на задълженията на лицето за данък върху добавената стойност</w:t>
                      </w:r>
                    </w:p>
                    <w:p w:rsidR="00DE421D" w:rsidRPr="006F6593" w:rsidRDefault="00DE421D" w:rsidP="006F6593">
                      <w:pPr>
                        <w:numPr>
                          <w:ilvl w:val="0"/>
                          <w:numId w:val="22"/>
                        </w:numPr>
                        <w:jc w:val="both"/>
                        <w:rPr>
                          <w:rFonts w:ascii="Times New Roman" w:hAnsi="Times New Roman" w:cs="Times New Roman"/>
                          <w:sz w:val="24"/>
                          <w:szCs w:val="24"/>
                        </w:rPr>
                      </w:pPr>
                      <w:r w:rsidRPr="00C23E7E">
                        <w:rPr>
                          <w:rFonts w:ascii="Times New Roman" w:hAnsi="Times New Roman" w:cs="Times New Roman"/>
                          <w:sz w:val="24"/>
                          <w:szCs w:val="24"/>
                        </w:rPr>
                        <w:t>Счетоводната отчетност трябва да дава възможност за проследява</w:t>
                      </w:r>
                      <w:r w:rsidR="00BE13AA">
                        <w:rPr>
                          <w:rFonts w:ascii="Times New Roman" w:hAnsi="Times New Roman" w:cs="Times New Roman"/>
                          <w:sz w:val="24"/>
                          <w:szCs w:val="24"/>
                        </w:rPr>
                        <w:t>не</w:t>
                      </w:r>
                      <w:r w:rsidRPr="00C23E7E">
                        <w:rPr>
                          <w:rFonts w:ascii="Times New Roman" w:hAnsi="Times New Roman" w:cs="Times New Roman"/>
                          <w:sz w:val="24"/>
                          <w:szCs w:val="24"/>
                        </w:rPr>
                        <w:t xml:space="preserve"> поотделно за всеки сектор</w:t>
                      </w:r>
                      <w:r w:rsidR="00BE13AA">
                        <w:rPr>
                          <w:rFonts w:ascii="Times New Roman" w:hAnsi="Times New Roman" w:cs="Times New Roman"/>
                          <w:sz w:val="24"/>
                          <w:szCs w:val="24"/>
                        </w:rPr>
                        <w:t xml:space="preserve"> на</w:t>
                      </w:r>
                      <w:r w:rsidRPr="00C23E7E">
                        <w:rPr>
                          <w:rFonts w:ascii="Times New Roman" w:hAnsi="Times New Roman" w:cs="Times New Roman"/>
                          <w:sz w:val="24"/>
                          <w:szCs w:val="24"/>
                        </w:rPr>
                        <w:t xml:space="preserve"> </w:t>
                      </w:r>
                      <w:bookmarkStart w:id="1" w:name="_GoBack"/>
                      <w:bookmarkEnd w:id="1"/>
                      <w:r w:rsidRPr="00C23E7E">
                        <w:rPr>
                          <w:rFonts w:ascii="Times New Roman" w:hAnsi="Times New Roman" w:cs="Times New Roman"/>
                          <w:sz w:val="24"/>
                          <w:szCs w:val="24"/>
                        </w:rPr>
                        <w:t>покупките на стоки и услуги, размерът на облагаемите и освободените доставки, продажбата на дълготрайни активи, както и прехвърлянето им към други сектори на дейност</w:t>
                      </w:r>
                    </w:p>
                    <w:p w:rsidR="00DE421D" w:rsidRPr="00255B59" w:rsidRDefault="00DE421D" w:rsidP="006F6593">
                      <w:pPr>
                        <w:autoSpaceDE/>
                        <w:autoSpaceDN/>
                        <w:rPr>
                          <w:rFonts w:ascii="Times New Roman" w:hAnsi="Times New Roman" w:cs="Times New Roman"/>
                          <w:sz w:val="24"/>
                          <w:szCs w:val="24"/>
                        </w:rPr>
                      </w:pPr>
                    </w:p>
                    <w:p w:rsidR="00DE421D" w:rsidRPr="00B057A8" w:rsidRDefault="00DE421D" w:rsidP="006F6593">
                      <w:pPr>
                        <w:jc w:val="center"/>
                      </w:pPr>
                    </w:p>
                  </w:txbxContent>
                </v:textbox>
              </v:rect>
            </w:pict>
          </mc:Fallback>
        </mc:AlternateContent>
      </w:r>
    </w:p>
    <w:p w:rsidR="006F6593" w:rsidRPr="006F6593" w:rsidRDefault="006F6593" w:rsidP="006F6593">
      <w:pPr>
        <w:spacing w:line="360" w:lineRule="auto"/>
        <w:ind w:right="-113"/>
        <w:jc w:val="both"/>
        <w:rPr>
          <w:rFonts w:ascii="Times New Roman" w:hAnsi="Times New Roman" w:cs="Times New Roman"/>
          <w:b/>
          <w:sz w:val="24"/>
          <w:szCs w:val="24"/>
          <w:lang w:val="ru-RU"/>
        </w:rPr>
      </w:pPr>
    </w:p>
    <w:p w:rsidR="006F6593" w:rsidRPr="006F6593" w:rsidRDefault="006F6593" w:rsidP="006F6593">
      <w:pPr>
        <w:spacing w:line="360" w:lineRule="auto"/>
        <w:ind w:right="-113"/>
        <w:jc w:val="both"/>
        <w:rPr>
          <w:rFonts w:ascii="Times New Roman" w:hAnsi="Times New Roman" w:cs="Times New Roman"/>
          <w:b/>
          <w:sz w:val="24"/>
          <w:szCs w:val="24"/>
          <w:lang w:val="ru-RU"/>
        </w:rPr>
      </w:pPr>
    </w:p>
    <w:p w:rsidR="006F6593" w:rsidRDefault="006F6593" w:rsidP="006F6593">
      <w:pPr>
        <w:spacing w:line="360" w:lineRule="auto"/>
        <w:ind w:right="-113"/>
        <w:jc w:val="both"/>
        <w:rPr>
          <w:rFonts w:ascii="Times New Roman" w:hAnsi="Times New Roman" w:cs="Times New Roman"/>
          <w:b/>
          <w:sz w:val="24"/>
          <w:szCs w:val="24"/>
        </w:rPr>
      </w:pPr>
    </w:p>
    <w:p w:rsidR="006F6593" w:rsidRDefault="006F6593" w:rsidP="006F6593">
      <w:pPr>
        <w:spacing w:line="360" w:lineRule="auto"/>
        <w:ind w:right="-113" w:firstLine="708"/>
        <w:jc w:val="both"/>
        <w:rPr>
          <w:rFonts w:ascii="Times New Roman" w:hAnsi="Times New Roman" w:cs="Times New Roman"/>
          <w:sz w:val="24"/>
          <w:szCs w:val="24"/>
        </w:rPr>
      </w:pPr>
    </w:p>
    <w:p w:rsidR="006F6593" w:rsidRDefault="006F6593" w:rsidP="006F6593">
      <w:pPr>
        <w:rPr>
          <w:lang w:val="ru-RU"/>
        </w:rPr>
      </w:pPr>
    </w:p>
    <w:p w:rsidR="006F6593" w:rsidRDefault="006F6593" w:rsidP="006F6593">
      <w:pPr>
        <w:pStyle w:val="BodyText"/>
        <w:jc w:val="center"/>
        <w:rPr>
          <w:rFonts w:ascii="Times New Roman" w:hAnsi="Times New Roman"/>
          <w:b/>
          <w:sz w:val="28"/>
          <w:szCs w:val="28"/>
        </w:rPr>
      </w:pPr>
    </w:p>
    <w:p w:rsidR="006F6593" w:rsidRDefault="006F6593" w:rsidP="006F6593">
      <w:pPr>
        <w:pStyle w:val="BodyText"/>
        <w:jc w:val="center"/>
        <w:rPr>
          <w:rFonts w:ascii="Times New Roman" w:hAnsi="Times New Roman"/>
          <w:b/>
          <w:sz w:val="28"/>
          <w:szCs w:val="28"/>
        </w:rPr>
      </w:pPr>
    </w:p>
    <w:p w:rsidR="006F6593" w:rsidRPr="00656C62" w:rsidRDefault="006F6593" w:rsidP="006F6593"/>
    <w:p w:rsidR="006F6593" w:rsidRDefault="006F6593" w:rsidP="006F6593">
      <w:pPr>
        <w:pStyle w:val="BodyText"/>
        <w:jc w:val="center"/>
        <w:rPr>
          <w:rFonts w:ascii="Times New Roman" w:hAnsi="Times New Roman"/>
          <w:b/>
          <w:sz w:val="28"/>
          <w:szCs w:val="28"/>
        </w:rPr>
      </w:pPr>
    </w:p>
    <w:p w:rsidR="006F6593" w:rsidRDefault="006F6593" w:rsidP="006F6593">
      <w:pPr>
        <w:pStyle w:val="BodyText"/>
        <w:jc w:val="center"/>
        <w:rPr>
          <w:rFonts w:ascii="Times New Roman" w:hAnsi="Times New Roman"/>
          <w:b/>
          <w:sz w:val="28"/>
          <w:szCs w:val="28"/>
        </w:rPr>
      </w:pPr>
    </w:p>
    <w:p w:rsidR="006F6593" w:rsidRPr="006F6593" w:rsidRDefault="006F6593" w:rsidP="006F6593">
      <w:pPr>
        <w:spacing w:line="360" w:lineRule="auto"/>
        <w:ind w:right="-113" w:firstLine="708"/>
        <w:jc w:val="both"/>
        <w:rPr>
          <w:rFonts w:ascii="Times New Roman" w:hAnsi="Times New Roman" w:cs="Times New Roman"/>
          <w:b/>
          <w:sz w:val="24"/>
          <w:szCs w:val="24"/>
        </w:rPr>
      </w:pPr>
      <w:r w:rsidRPr="006F6593">
        <w:rPr>
          <w:rFonts w:ascii="Times New Roman" w:hAnsi="Times New Roman" w:cs="Times New Roman"/>
          <w:b/>
          <w:sz w:val="24"/>
          <w:szCs w:val="24"/>
          <w:lang w:val="en-US"/>
        </w:rPr>
        <w:t>II</w:t>
      </w:r>
      <w:r>
        <w:rPr>
          <w:rFonts w:ascii="Times New Roman" w:hAnsi="Times New Roman" w:cs="Times New Roman"/>
          <w:b/>
          <w:sz w:val="24"/>
          <w:szCs w:val="24"/>
          <w:lang w:val="en-US"/>
        </w:rPr>
        <w:t>I</w:t>
      </w:r>
      <w:proofErr w:type="gramStart"/>
      <w:r w:rsidRPr="006F6593">
        <w:rPr>
          <w:rFonts w:ascii="Times New Roman" w:hAnsi="Times New Roman" w:cs="Times New Roman"/>
          <w:b/>
          <w:sz w:val="24"/>
          <w:szCs w:val="24"/>
        </w:rPr>
        <w:t xml:space="preserve">. </w:t>
      </w:r>
      <w:r>
        <w:rPr>
          <w:rFonts w:ascii="Times New Roman" w:hAnsi="Times New Roman" w:cs="Times New Roman"/>
          <w:b/>
          <w:sz w:val="24"/>
          <w:szCs w:val="24"/>
        </w:rPr>
        <w:t xml:space="preserve"> ПОСЛЕДИЦИ</w:t>
      </w:r>
      <w:proofErr w:type="gramEnd"/>
      <w:r>
        <w:rPr>
          <w:rFonts w:ascii="Times New Roman" w:hAnsi="Times New Roman" w:cs="Times New Roman"/>
          <w:b/>
          <w:sz w:val="24"/>
          <w:szCs w:val="24"/>
        </w:rPr>
        <w:t xml:space="preserve"> ОТ </w:t>
      </w:r>
      <w:r w:rsidRPr="006F6593">
        <w:rPr>
          <w:rFonts w:ascii="Times New Roman" w:hAnsi="Times New Roman" w:cs="Times New Roman"/>
          <w:b/>
          <w:sz w:val="24"/>
          <w:szCs w:val="24"/>
        </w:rPr>
        <w:t>ОБОСОБЯВАНЕ</w:t>
      </w:r>
      <w:r>
        <w:rPr>
          <w:rFonts w:ascii="Times New Roman" w:hAnsi="Times New Roman" w:cs="Times New Roman"/>
          <w:b/>
          <w:sz w:val="24"/>
          <w:szCs w:val="24"/>
        </w:rPr>
        <w:t>ТО</w:t>
      </w:r>
      <w:r w:rsidRPr="006F6593">
        <w:rPr>
          <w:rFonts w:ascii="Times New Roman" w:hAnsi="Times New Roman" w:cs="Times New Roman"/>
          <w:b/>
          <w:sz w:val="24"/>
          <w:szCs w:val="24"/>
        </w:rPr>
        <w:t xml:space="preserve"> НА СЕКТОРИ НА ДЕЙНОСТ</w:t>
      </w:r>
    </w:p>
    <w:p w:rsidR="006F6593" w:rsidRDefault="00101C8F" w:rsidP="006F6593">
      <w:pPr>
        <w:pStyle w:val="BodyText"/>
        <w:jc w:val="center"/>
        <w:rPr>
          <w:rFonts w:ascii="Times New Roman" w:hAnsi="Times New Roman"/>
          <w:b/>
          <w:sz w:val="28"/>
          <w:szCs w:val="28"/>
        </w:rPr>
      </w:pPr>
      <w:r>
        <w:rPr>
          <w:noProof/>
          <w:szCs w:val="24"/>
          <w:lang w:val="en-US" w:eastAsia="en-US"/>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234315</wp:posOffset>
                </wp:positionV>
                <wp:extent cx="5257800" cy="1828800"/>
                <wp:effectExtent l="0" t="0" r="19050" b="1905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8288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DE421D" w:rsidRDefault="00DE421D" w:rsidP="006F6593">
                            <w:pPr>
                              <w:rPr>
                                <w:rFonts w:ascii="Times New Roman" w:hAnsi="Times New Roman" w:cs="Times New Roman"/>
                                <w:bCs/>
                                <w:sz w:val="24"/>
                                <w:szCs w:val="24"/>
                              </w:rPr>
                            </w:pPr>
                          </w:p>
                          <w:p w:rsidR="00DE421D" w:rsidRPr="00C23E7E" w:rsidRDefault="00DE421D" w:rsidP="006F6593">
                            <w:pPr>
                              <w:numPr>
                                <w:ilvl w:val="0"/>
                                <w:numId w:val="23"/>
                              </w:numPr>
                              <w:jc w:val="both"/>
                              <w:rPr>
                                <w:rFonts w:ascii="Times New Roman" w:hAnsi="Times New Roman" w:cs="Times New Roman"/>
                                <w:sz w:val="24"/>
                                <w:szCs w:val="24"/>
                              </w:rPr>
                            </w:pPr>
                            <w:r w:rsidRPr="00C23E7E">
                              <w:rPr>
                                <w:rFonts w:ascii="Times New Roman" w:hAnsi="Times New Roman" w:cs="Times New Roman"/>
                                <w:sz w:val="24"/>
                                <w:szCs w:val="24"/>
                              </w:rPr>
                              <w:t>Ползваното право на данъчен кредит трябва да бъде обосновано поотделно за всеки сектор</w:t>
                            </w:r>
                          </w:p>
                          <w:p w:rsidR="00DE421D" w:rsidRPr="00C23E7E" w:rsidRDefault="00DE421D" w:rsidP="006F6593">
                            <w:pPr>
                              <w:numPr>
                                <w:ilvl w:val="0"/>
                                <w:numId w:val="23"/>
                              </w:numPr>
                              <w:jc w:val="both"/>
                              <w:rPr>
                                <w:rFonts w:ascii="Times New Roman" w:hAnsi="Times New Roman" w:cs="Times New Roman"/>
                                <w:sz w:val="24"/>
                                <w:szCs w:val="24"/>
                                <w:lang w:val="ru-RU"/>
                              </w:rPr>
                            </w:pPr>
                            <w:r w:rsidRPr="00C23E7E">
                              <w:rPr>
                                <w:rFonts w:ascii="Times New Roman" w:hAnsi="Times New Roman" w:cs="Times New Roman"/>
                                <w:sz w:val="24"/>
                                <w:szCs w:val="24"/>
                              </w:rPr>
                              <w:t xml:space="preserve">Правото на приспадане на данъчен кредит се определя поотделно за всеки сектор в зависимост от </w:t>
                            </w:r>
                            <w:r w:rsidR="00BE13AA">
                              <w:rPr>
                                <w:rFonts w:ascii="Times New Roman" w:hAnsi="Times New Roman" w:cs="Times New Roman"/>
                                <w:sz w:val="24"/>
                                <w:szCs w:val="24"/>
                              </w:rPr>
                              <w:t xml:space="preserve">неговата </w:t>
                            </w:r>
                            <w:r w:rsidRPr="00C23E7E">
                              <w:rPr>
                                <w:rFonts w:ascii="Times New Roman" w:hAnsi="Times New Roman" w:cs="Times New Roman"/>
                                <w:sz w:val="24"/>
                                <w:szCs w:val="24"/>
                              </w:rPr>
                              <w:t>дейност</w:t>
                            </w:r>
                            <w:r w:rsidRPr="00C23E7E">
                              <w:rPr>
                                <w:rFonts w:ascii="Times New Roman" w:hAnsi="Times New Roman" w:cs="Times New Roman"/>
                                <w:sz w:val="24"/>
                                <w:szCs w:val="24"/>
                                <w:lang w:val="ru-RU"/>
                              </w:rPr>
                              <w:t>. На практика е възможно един сектор на дейност въобще да няма право на приспадане на данъчен кредит за</w:t>
                            </w:r>
                            <w:r>
                              <w:rPr>
                                <w:rFonts w:ascii="Times New Roman" w:hAnsi="Times New Roman" w:cs="Times New Roman"/>
                                <w:sz w:val="24"/>
                                <w:szCs w:val="24"/>
                                <w:lang w:val="ru-RU"/>
                              </w:rPr>
                              <w:t xml:space="preserve"> получените стоки и услуги, </w:t>
                            </w:r>
                            <w:r w:rsidRPr="00C23E7E">
                              <w:rPr>
                                <w:rFonts w:ascii="Times New Roman" w:hAnsi="Times New Roman" w:cs="Times New Roman"/>
                                <w:sz w:val="24"/>
                                <w:szCs w:val="24"/>
                                <w:lang w:val="ru-RU"/>
                              </w:rPr>
                              <w:t>друг да има 100%</w:t>
                            </w:r>
                            <w:r>
                              <w:rPr>
                                <w:rFonts w:ascii="Times New Roman" w:hAnsi="Times New Roman" w:cs="Times New Roman"/>
                                <w:sz w:val="24"/>
                                <w:szCs w:val="24"/>
                                <w:lang w:val="ru-RU"/>
                              </w:rPr>
                              <w:t xml:space="preserve"> право на данъчен кредит, а трети</w:t>
                            </w:r>
                            <w:r w:rsidRPr="00C23E7E">
                              <w:rPr>
                                <w:rFonts w:ascii="Times New Roman" w:hAnsi="Times New Roman" w:cs="Times New Roman"/>
                                <w:sz w:val="24"/>
                                <w:szCs w:val="24"/>
                                <w:lang w:val="ru-RU"/>
                              </w:rPr>
                              <w:t xml:space="preserve"> </w:t>
                            </w:r>
                            <w:r>
                              <w:rPr>
                                <w:rFonts w:ascii="Times New Roman" w:hAnsi="Times New Roman" w:cs="Times New Roman"/>
                                <w:sz w:val="24"/>
                                <w:szCs w:val="24"/>
                              </w:rPr>
                              <w:t xml:space="preserve">да бъде </w:t>
                            </w:r>
                            <w:r w:rsidRPr="00C23E7E">
                              <w:rPr>
                                <w:rFonts w:ascii="Times New Roman" w:hAnsi="Times New Roman" w:cs="Times New Roman"/>
                                <w:sz w:val="24"/>
                                <w:szCs w:val="24"/>
                              </w:rPr>
                              <w:t>с право на частичен данъчен кредит.</w:t>
                            </w:r>
                          </w:p>
                          <w:p w:rsidR="00DE421D" w:rsidRPr="00C23E7E" w:rsidRDefault="00DE421D" w:rsidP="006F6593">
                            <w:pPr>
                              <w:ind w:left="284" w:hanging="284"/>
                              <w:jc w:val="both"/>
                              <w:rPr>
                                <w:rFonts w:ascii="Times New Roman" w:hAnsi="Times New Roman" w:cs="Times New Roman"/>
                                <w:sz w:val="24"/>
                                <w:szCs w:val="24"/>
                                <w:lang w:val="ru-RU"/>
                              </w:rPr>
                            </w:pPr>
                          </w:p>
                          <w:p w:rsidR="00DE421D" w:rsidRDefault="00DE421D" w:rsidP="006F6593">
                            <w:pPr>
                              <w:rPr>
                                <w:lang w:val="ru-RU"/>
                              </w:rPr>
                            </w:pPr>
                          </w:p>
                          <w:p w:rsidR="00DE421D" w:rsidRPr="00255B59" w:rsidRDefault="00DE421D" w:rsidP="006F6593">
                            <w:pPr>
                              <w:rPr>
                                <w:rFonts w:ascii="Times New Roman" w:hAnsi="Times New Roman" w:cs="Times New Roman"/>
                                <w:bCs/>
                                <w:sz w:val="24"/>
                                <w:szCs w:val="24"/>
                                <w:lang w:val="ru-RU"/>
                              </w:rPr>
                            </w:pPr>
                          </w:p>
                          <w:p w:rsidR="00DE421D" w:rsidRPr="00255B59" w:rsidRDefault="00DE421D" w:rsidP="006F6593">
                            <w:pPr>
                              <w:autoSpaceDE/>
                              <w:autoSpaceDN/>
                              <w:rPr>
                                <w:rFonts w:ascii="Times New Roman" w:hAnsi="Times New Roman" w:cs="Times New Roman"/>
                                <w:sz w:val="24"/>
                                <w:szCs w:val="24"/>
                              </w:rPr>
                            </w:pPr>
                          </w:p>
                          <w:p w:rsidR="00DE421D" w:rsidRPr="00B057A8" w:rsidRDefault="00DE421D" w:rsidP="006F65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7" style="position:absolute;left:0;text-align:left;margin-left:27pt;margin-top:18.45pt;width:414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" strokecolor="#ddd" strokeweight="1pt">
                <v:fill color2="#ddd" rotate="t" focus="100%" type="gradient"/>
                <v:textbox>
                  <w:txbxContent>
                    <w:p w:rsidR="00DE421D" w:rsidRDefault="00DE421D" w:rsidP="006F6593">
                      <w:pPr>
                        <w:rPr>
                          <w:rFonts w:ascii="Times New Roman" w:hAnsi="Times New Roman" w:cs="Times New Roman"/>
                          <w:bCs/>
                          <w:sz w:val="24"/>
                          <w:szCs w:val="24"/>
                        </w:rPr>
                      </w:pPr>
                    </w:p>
                    <w:p w:rsidR="00DE421D" w:rsidRPr="00C23E7E" w:rsidRDefault="00DE421D" w:rsidP="006F6593">
                      <w:pPr>
                        <w:numPr>
                          <w:ilvl w:val="0"/>
                          <w:numId w:val="23"/>
                        </w:numPr>
                        <w:jc w:val="both"/>
                        <w:rPr>
                          <w:rFonts w:ascii="Times New Roman" w:hAnsi="Times New Roman" w:cs="Times New Roman"/>
                          <w:sz w:val="24"/>
                          <w:szCs w:val="24"/>
                        </w:rPr>
                      </w:pPr>
                      <w:r w:rsidRPr="00C23E7E">
                        <w:rPr>
                          <w:rFonts w:ascii="Times New Roman" w:hAnsi="Times New Roman" w:cs="Times New Roman"/>
                          <w:sz w:val="24"/>
                          <w:szCs w:val="24"/>
                        </w:rPr>
                        <w:t>Ползваното право на данъчен кредит трябва да бъде обосновано поотделно за всеки сектор</w:t>
                      </w:r>
                    </w:p>
                    <w:p w:rsidR="00DE421D" w:rsidRPr="00C23E7E" w:rsidRDefault="00DE421D" w:rsidP="006F6593">
                      <w:pPr>
                        <w:numPr>
                          <w:ilvl w:val="0"/>
                          <w:numId w:val="23"/>
                        </w:numPr>
                        <w:jc w:val="both"/>
                        <w:rPr>
                          <w:rFonts w:ascii="Times New Roman" w:hAnsi="Times New Roman" w:cs="Times New Roman"/>
                          <w:sz w:val="24"/>
                          <w:szCs w:val="24"/>
                          <w:lang w:val="ru-RU"/>
                        </w:rPr>
                      </w:pPr>
                      <w:r w:rsidRPr="00C23E7E">
                        <w:rPr>
                          <w:rFonts w:ascii="Times New Roman" w:hAnsi="Times New Roman" w:cs="Times New Roman"/>
                          <w:sz w:val="24"/>
                          <w:szCs w:val="24"/>
                        </w:rPr>
                        <w:t xml:space="preserve">Правото на приспадане на данъчен кредит се определя поотделно за всеки сектор в зависимост от </w:t>
                      </w:r>
                      <w:r w:rsidR="00BE13AA">
                        <w:rPr>
                          <w:rFonts w:ascii="Times New Roman" w:hAnsi="Times New Roman" w:cs="Times New Roman"/>
                          <w:sz w:val="24"/>
                          <w:szCs w:val="24"/>
                        </w:rPr>
                        <w:t xml:space="preserve">неговата </w:t>
                      </w:r>
                      <w:r w:rsidRPr="00C23E7E">
                        <w:rPr>
                          <w:rFonts w:ascii="Times New Roman" w:hAnsi="Times New Roman" w:cs="Times New Roman"/>
                          <w:sz w:val="24"/>
                          <w:szCs w:val="24"/>
                        </w:rPr>
                        <w:t>дейност</w:t>
                      </w:r>
                      <w:r w:rsidRPr="00C23E7E">
                        <w:rPr>
                          <w:rFonts w:ascii="Times New Roman" w:hAnsi="Times New Roman" w:cs="Times New Roman"/>
                          <w:sz w:val="24"/>
                          <w:szCs w:val="24"/>
                          <w:lang w:val="ru-RU"/>
                        </w:rPr>
                        <w:t>. На практика е възможно един сектор на дейност въобще да няма право на приспадане на данъчен кредит за</w:t>
                      </w:r>
                      <w:r>
                        <w:rPr>
                          <w:rFonts w:ascii="Times New Roman" w:hAnsi="Times New Roman" w:cs="Times New Roman"/>
                          <w:sz w:val="24"/>
                          <w:szCs w:val="24"/>
                          <w:lang w:val="ru-RU"/>
                        </w:rPr>
                        <w:t xml:space="preserve"> получените стоки и услуги, </w:t>
                      </w:r>
                      <w:r w:rsidRPr="00C23E7E">
                        <w:rPr>
                          <w:rFonts w:ascii="Times New Roman" w:hAnsi="Times New Roman" w:cs="Times New Roman"/>
                          <w:sz w:val="24"/>
                          <w:szCs w:val="24"/>
                          <w:lang w:val="ru-RU"/>
                        </w:rPr>
                        <w:t>друг да има 100%</w:t>
                      </w:r>
                      <w:r>
                        <w:rPr>
                          <w:rFonts w:ascii="Times New Roman" w:hAnsi="Times New Roman" w:cs="Times New Roman"/>
                          <w:sz w:val="24"/>
                          <w:szCs w:val="24"/>
                          <w:lang w:val="ru-RU"/>
                        </w:rPr>
                        <w:t xml:space="preserve"> право на данъчен кредит, а трети</w:t>
                      </w:r>
                      <w:r w:rsidRPr="00C23E7E">
                        <w:rPr>
                          <w:rFonts w:ascii="Times New Roman" w:hAnsi="Times New Roman" w:cs="Times New Roman"/>
                          <w:sz w:val="24"/>
                          <w:szCs w:val="24"/>
                          <w:lang w:val="ru-RU"/>
                        </w:rPr>
                        <w:t xml:space="preserve"> </w:t>
                      </w:r>
                      <w:r>
                        <w:rPr>
                          <w:rFonts w:ascii="Times New Roman" w:hAnsi="Times New Roman" w:cs="Times New Roman"/>
                          <w:sz w:val="24"/>
                          <w:szCs w:val="24"/>
                        </w:rPr>
                        <w:t xml:space="preserve">да бъде </w:t>
                      </w:r>
                      <w:r w:rsidRPr="00C23E7E">
                        <w:rPr>
                          <w:rFonts w:ascii="Times New Roman" w:hAnsi="Times New Roman" w:cs="Times New Roman"/>
                          <w:sz w:val="24"/>
                          <w:szCs w:val="24"/>
                        </w:rPr>
                        <w:t>с право на частичен данъчен кредит.</w:t>
                      </w:r>
                    </w:p>
                    <w:p w:rsidR="00DE421D" w:rsidRPr="00C23E7E" w:rsidRDefault="00DE421D" w:rsidP="006F6593">
                      <w:pPr>
                        <w:ind w:left="284" w:hanging="284"/>
                        <w:jc w:val="both"/>
                        <w:rPr>
                          <w:rFonts w:ascii="Times New Roman" w:hAnsi="Times New Roman" w:cs="Times New Roman"/>
                          <w:sz w:val="24"/>
                          <w:szCs w:val="24"/>
                          <w:lang w:val="ru-RU"/>
                        </w:rPr>
                      </w:pPr>
                    </w:p>
                    <w:p w:rsidR="00DE421D" w:rsidRDefault="00DE421D" w:rsidP="006F6593">
                      <w:pPr>
                        <w:rPr>
                          <w:lang w:val="ru-RU"/>
                        </w:rPr>
                      </w:pPr>
                    </w:p>
                    <w:p w:rsidR="00DE421D" w:rsidRPr="00255B59" w:rsidRDefault="00DE421D" w:rsidP="006F6593">
                      <w:pPr>
                        <w:rPr>
                          <w:rFonts w:ascii="Times New Roman" w:hAnsi="Times New Roman" w:cs="Times New Roman"/>
                          <w:bCs/>
                          <w:sz w:val="24"/>
                          <w:szCs w:val="24"/>
                          <w:lang w:val="ru-RU"/>
                        </w:rPr>
                      </w:pPr>
                    </w:p>
                    <w:p w:rsidR="00DE421D" w:rsidRPr="00255B59" w:rsidRDefault="00DE421D" w:rsidP="006F6593">
                      <w:pPr>
                        <w:autoSpaceDE/>
                        <w:autoSpaceDN/>
                        <w:rPr>
                          <w:rFonts w:ascii="Times New Roman" w:hAnsi="Times New Roman" w:cs="Times New Roman"/>
                          <w:sz w:val="24"/>
                          <w:szCs w:val="24"/>
                        </w:rPr>
                      </w:pPr>
                    </w:p>
                    <w:p w:rsidR="00DE421D" w:rsidRPr="00B057A8" w:rsidRDefault="00DE421D" w:rsidP="006F6593">
                      <w:pPr>
                        <w:jc w:val="center"/>
                      </w:pPr>
                    </w:p>
                  </w:txbxContent>
                </v:textbox>
              </v:rect>
            </w:pict>
          </mc:Fallback>
        </mc:AlternateContent>
      </w:r>
    </w:p>
    <w:p w:rsidR="006F6593" w:rsidRDefault="006F6593" w:rsidP="006F6593">
      <w:pPr>
        <w:pStyle w:val="BodyText"/>
        <w:jc w:val="center"/>
        <w:rPr>
          <w:rFonts w:ascii="Times New Roman" w:hAnsi="Times New Roman"/>
          <w:b/>
          <w:sz w:val="24"/>
          <w:szCs w:val="24"/>
        </w:rPr>
      </w:pPr>
    </w:p>
    <w:p w:rsidR="006F6593" w:rsidRDefault="006F6593" w:rsidP="006F6593">
      <w:pPr>
        <w:rPr>
          <w:szCs w:val="24"/>
        </w:rPr>
      </w:pPr>
    </w:p>
    <w:p w:rsidR="006F6593" w:rsidRDefault="006F6593" w:rsidP="006F6593">
      <w:pPr>
        <w:rPr>
          <w:szCs w:val="24"/>
        </w:rPr>
      </w:pPr>
    </w:p>
    <w:p w:rsidR="006F6593" w:rsidRDefault="006F6593" w:rsidP="006F6593">
      <w:pPr>
        <w:rPr>
          <w:szCs w:val="24"/>
        </w:rPr>
      </w:pPr>
    </w:p>
    <w:p w:rsidR="006F6593" w:rsidRDefault="006F6593" w:rsidP="006F6593">
      <w:pPr>
        <w:rPr>
          <w:szCs w:val="24"/>
        </w:rPr>
      </w:pPr>
    </w:p>
    <w:p w:rsidR="006F6593" w:rsidRDefault="006F6593" w:rsidP="006F6593">
      <w:pPr>
        <w:rPr>
          <w:szCs w:val="24"/>
        </w:rPr>
      </w:pPr>
    </w:p>
    <w:p w:rsidR="006F6593" w:rsidRDefault="006F6593" w:rsidP="006F6593">
      <w:pPr>
        <w:rPr>
          <w:szCs w:val="24"/>
        </w:rPr>
      </w:pPr>
    </w:p>
    <w:p w:rsidR="006F6593" w:rsidRDefault="006F6593" w:rsidP="006F6593">
      <w:pPr>
        <w:pStyle w:val="BodyText"/>
        <w:jc w:val="center"/>
        <w:rPr>
          <w:rFonts w:ascii="Times New Roman" w:hAnsi="Times New Roman"/>
          <w:b/>
          <w:sz w:val="24"/>
          <w:szCs w:val="24"/>
        </w:rPr>
      </w:pPr>
    </w:p>
    <w:p w:rsidR="006F6593" w:rsidRDefault="006F6593" w:rsidP="006F6593">
      <w:pPr>
        <w:pStyle w:val="BodyText"/>
        <w:jc w:val="center"/>
        <w:rPr>
          <w:rFonts w:ascii="Times New Roman" w:hAnsi="Times New Roman"/>
          <w:b/>
          <w:color w:val="FF0000"/>
          <w:sz w:val="24"/>
          <w:szCs w:val="24"/>
        </w:rPr>
      </w:pPr>
    </w:p>
    <w:p w:rsidR="006F6593" w:rsidRDefault="006F6593" w:rsidP="006F6593">
      <w:pPr>
        <w:pStyle w:val="BodyText"/>
        <w:jc w:val="center"/>
        <w:rPr>
          <w:rFonts w:ascii="Times New Roman" w:hAnsi="Times New Roman"/>
          <w:b/>
          <w:color w:val="FF0000"/>
          <w:sz w:val="24"/>
          <w:szCs w:val="24"/>
        </w:rPr>
      </w:pPr>
    </w:p>
    <w:p w:rsidR="006F6593" w:rsidRPr="00FF3F12" w:rsidRDefault="006F6593" w:rsidP="006F6593">
      <w:pPr>
        <w:pStyle w:val="BodyText"/>
        <w:jc w:val="center"/>
        <w:rPr>
          <w:rFonts w:ascii="Times New Roman" w:hAnsi="Times New Roman" w:cs="Times New Roman"/>
          <w:b/>
          <w:color w:val="FF0000"/>
          <w:sz w:val="28"/>
          <w:szCs w:val="28"/>
          <w:lang w:val="ru-RU"/>
        </w:rPr>
      </w:pPr>
      <w:r w:rsidRPr="00FF3F12">
        <w:rPr>
          <w:rFonts w:ascii="Times New Roman" w:hAnsi="Times New Roman" w:cs="Times New Roman"/>
          <w:b/>
          <w:color w:val="FF0000"/>
          <w:sz w:val="28"/>
          <w:szCs w:val="28"/>
          <w:lang w:val="ru-RU"/>
        </w:rPr>
        <w:t xml:space="preserve"> </w:t>
      </w:r>
    </w:p>
    <w:p w:rsidR="006F6593" w:rsidRPr="00FF3F12" w:rsidRDefault="006F6593" w:rsidP="006F6593">
      <w:pPr>
        <w:rPr>
          <w:lang w:val="ru-RU"/>
        </w:rPr>
      </w:pPr>
    </w:p>
    <w:sectPr w:rsidR="006F6593" w:rsidRPr="00FF3F12" w:rsidSect="00020E73">
      <w:headerReference w:type="default" r:id="rId7"/>
      <w:footerReference w:type="even" r:id="rId8"/>
      <w:footerReference w:type="default" r:id="rId9"/>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DE9" w:rsidRDefault="00812DE9">
      <w:r>
        <w:separator/>
      </w:r>
    </w:p>
  </w:endnote>
  <w:endnote w:type="continuationSeparator" w:id="0">
    <w:p w:rsidR="00812DE9" w:rsidRDefault="0081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21D" w:rsidRDefault="006A6093" w:rsidP="000051B6">
    <w:pPr>
      <w:pStyle w:val="Footer"/>
      <w:framePr w:wrap="around" w:vAnchor="text" w:hAnchor="margin" w:xAlign="right" w:y="1"/>
      <w:rPr>
        <w:rStyle w:val="PageNumber"/>
      </w:rPr>
    </w:pPr>
    <w:r>
      <w:rPr>
        <w:rStyle w:val="PageNumber"/>
      </w:rPr>
      <w:fldChar w:fldCharType="begin"/>
    </w:r>
    <w:r w:rsidR="00DE421D">
      <w:rPr>
        <w:rStyle w:val="PageNumber"/>
      </w:rPr>
      <w:instrText xml:space="preserve">PAGE  </w:instrText>
    </w:r>
    <w:r>
      <w:rPr>
        <w:rStyle w:val="PageNumber"/>
      </w:rPr>
      <w:fldChar w:fldCharType="end"/>
    </w:r>
  </w:p>
  <w:p w:rsidR="00DE421D" w:rsidRDefault="00DE421D"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21D" w:rsidRPr="00B94A7A" w:rsidRDefault="00DE421D" w:rsidP="004232E0">
    <w:pPr>
      <w:pStyle w:val="Footer"/>
      <w:framePr w:wrap="around" w:vAnchor="text" w:hAnchor="page" w:x="5292" w:y="-147"/>
      <w:rPr>
        <w:rStyle w:val="PageNumber"/>
        <w:rFonts w:ascii="Times New Roman" w:hAnsi="Times New Roman" w:cs="Times New Roman"/>
        <w:color w:val="003366"/>
      </w:rPr>
    </w:pPr>
    <w:r>
      <w:rPr>
        <w:lang w:val="en-US"/>
      </w:rPr>
      <w:tab/>
    </w:r>
    <w:r w:rsidR="00B91226" w:rsidRPr="001C5C71">
      <w:rPr>
        <w:rFonts w:ascii="Times New Roman" w:hAnsi="Times New Roman" w:cs="Times New Roman"/>
        <w:color w:val="003366"/>
      </w:rPr>
      <w:t>НАРЪЧНИК ПО ДДС, 20</w:t>
    </w:r>
    <w:r w:rsidR="007E4A63">
      <w:rPr>
        <w:rFonts w:ascii="Times New Roman" w:hAnsi="Times New Roman" w:cs="Times New Roman"/>
        <w:color w:val="003366"/>
        <w:lang w:val="en-US"/>
      </w:rPr>
      <w:t>2</w:t>
    </w:r>
    <w:r w:rsidR="00B94A7A">
      <w:rPr>
        <w:rFonts w:ascii="Times New Roman" w:hAnsi="Times New Roman" w:cs="Times New Roman"/>
        <w:color w:val="003366"/>
      </w:rPr>
      <w:t>5</w:t>
    </w:r>
  </w:p>
  <w:p w:rsidR="00DE421D" w:rsidRPr="00824EE9" w:rsidRDefault="00DE421D" w:rsidP="0099219F">
    <w:pPr>
      <w:pStyle w:val="Footer"/>
      <w:ind w:right="360"/>
      <w:rPr>
        <w:rFonts w:ascii="Times New Roman" w:hAnsi="Times New Roman" w:cs="Times New Roman"/>
        <w:color w:val="C0C0C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DE9" w:rsidRDefault="00812DE9">
      <w:r>
        <w:separator/>
      </w:r>
    </w:p>
  </w:footnote>
  <w:footnote w:type="continuationSeparator" w:id="0">
    <w:p w:rsidR="00812DE9" w:rsidRDefault="0081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1"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5"/>
      <w:gridCol w:w="8476"/>
    </w:tblGrid>
    <w:tr w:rsidR="00DE421D" w:rsidTr="008339C3">
      <w:trPr>
        <w:cantSplit/>
        <w:trHeight w:val="754"/>
      </w:trPr>
      <w:tc>
        <w:tcPr>
          <w:tcW w:w="2295" w:type="dxa"/>
          <w:vMerge w:val="restart"/>
        </w:tcPr>
        <w:p w:rsidR="00DE421D" w:rsidRPr="00554FAB" w:rsidRDefault="00DE421D" w:rsidP="00AD598A">
          <w:pPr>
            <w:pStyle w:val="Heading1"/>
            <w:spacing w:before="0"/>
            <w:ind w:left="0" w:right="0"/>
            <w:rPr>
              <w:rFonts w:ascii="Arial" w:hAnsi="Arial" w:cs="Arial"/>
              <w:sz w:val="28"/>
              <w:lang w:val="en-US"/>
            </w:rPr>
          </w:pPr>
        </w:p>
        <w:p w:rsidR="00DE421D" w:rsidRDefault="009B424A">
          <w:pPr>
            <w:jc w:val="center"/>
            <w:rPr>
              <w:rFonts w:ascii="Arial" w:hAnsi="Arial" w:cs="Arial"/>
              <w:lang w:val="en-US"/>
            </w:rPr>
          </w:pPr>
          <w:r>
            <w:rPr>
              <w:rFonts w:ascii="Arial" w:hAnsi="Arial" w:cs="Arial"/>
              <w:noProof/>
              <w:lang w:val="en-US" w:eastAsia="en-US"/>
            </w:rPr>
            <w:drawing>
              <wp:inline distT="0" distB="0" distL="0" distR="0">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p>
      </w:tc>
      <w:tc>
        <w:tcPr>
          <w:tcW w:w="8476" w:type="dxa"/>
          <w:vAlign w:val="center"/>
        </w:tcPr>
        <w:p w:rsidR="00DE421D" w:rsidRPr="00C330D6" w:rsidRDefault="00DE421D" w:rsidP="00AD598A">
          <w:pPr>
            <w:pStyle w:val="Heading1"/>
            <w:spacing w:before="0"/>
            <w:ind w:left="0"/>
            <w:jc w:val="right"/>
            <w:rPr>
              <w:rFonts w:ascii="Times New Roman" w:hAnsi="Times New Roman" w:cs="Times New Roman"/>
              <w:bCs/>
              <w:color w:val="003366"/>
              <w:kern w:val="0"/>
              <w:sz w:val="24"/>
              <w:szCs w:val="24"/>
              <w:lang w:val="en-US"/>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w:t>
          </w:r>
          <w:r w:rsidR="00C330D6">
            <w:rPr>
              <w:rFonts w:ascii="Times New Roman" w:hAnsi="Times New Roman" w:cs="Times New Roman"/>
              <w:color w:val="003366"/>
              <w:kern w:val="0"/>
              <w:sz w:val="24"/>
              <w:szCs w:val="24"/>
              <w:lang w:val="en-US"/>
            </w:rPr>
            <w:t>II.8</w:t>
          </w:r>
        </w:p>
      </w:tc>
    </w:tr>
    <w:tr w:rsidR="00DE421D" w:rsidTr="008339C3">
      <w:trPr>
        <w:cantSplit/>
        <w:trHeight w:val="720"/>
      </w:trPr>
      <w:tc>
        <w:tcPr>
          <w:tcW w:w="2295" w:type="dxa"/>
          <w:vMerge/>
        </w:tcPr>
        <w:p w:rsidR="00DE421D" w:rsidRDefault="00DE421D">
          <w:pPr>
            <w:pStyle w:val="Heading1"/>
            <w:ind w:left="0"/>
            <w:rPr>
              <w:rFonts w:ascii="Arial" w:hAnsi="Arial" w:cs="Arial"/>
              <w:b w:val="0"/>
              <w:caps w:val="0"/>
              <w:kern w:val="0"/>
              <w:lang w:val="bg-BG"/>
            </w:rPr>
          </w:pPr>
        </w:p>
      </w:tc>
      <w:tc>
        <w:tcPr>
          <w:tcW w:w="8476" w:type="dxa"/>
          <w:vAlign w:val="center"/>
        </w:tcPr>
        <w:p w:rsidR="00DE421D" w:rsidRDefault="00DE421D" w:rsidP="001A771E">
          <w:pPr>
            <w:jc w:val="center"/>
            <w:rPr>
              <w:rFonts w:ascii="Times New Roman" w:hAnsi="Times New Roman"/>
              <w:b/>
              <w:caps/>
              <w:color w:val="003366"/>
              <w:sz w:val="28"/>
            </w:rPr>
          </w:pPr>
        </w:p>
        <w:p w:rsidR="00DE421D" w:rsidRPr="00072247" w:rsidRDefault="00DE421D" w:rsidP="001A771E">
          <w:pPr>
            <w:jc w:val="center"/>
            <w:rPr>
              <w:rFonts w:ascii="Times New Roman" w:hAnsi="Times New Roman"/>
              <w:b/>
              <w:caps/>
              <w:color w:val="003366"/>
              <w:sz w:val="28"/>
            </w:rPr>
          </w:pPr>
          <w:r>
            <w:rPr>
              <w:rFonts w:ascii="Times New Roman" w:hAnsi="Times New Roman"/>
              <w:b/>
              <w:caps/>
              <w:color w:val="003366"/>
              <w:sz w:val="28"/>
            </w:rPr>
            <w:t>право на приспадане на частичен данъчен кредит. ОБОСОБЕНИ СЕКТОРИ НА ДЕЙНОСТ</w:t>
          </w:r>
        </w:p>
        <w:p w:rsidR="00DE421D" w:rsidRPr="00AD598A" w:rsidRDefault="00DE421D" w:rsidP="001A771E">
          <w:pPr>
            <w:jc w:val="center"/>
            <w:rPr>
              <w:rFonts w:ascii="Arial" w:hAnsi="Arial" w:cs="Arial"/>
              <w:b/>
              <w:bCs/>
              <w:color w:val="808080"/>
              <w:lang w:val="ru-RU"/>
            </w:rPr>
          </w:pPr>
        </w:p>
      </w:tc>
    </w:tr>
  </w:tbl>
  <w:p w:rsidR="00DE421D" w:rsidRDefault="00DE421D" w:rsidP="00886AD9">
    <w:pPr>
      <w:jc w:val="center"/>
    </w:pPr>
  </w:p>
  <w:p w:rsidR="00DE421D" w:rsidRDefault="00DE421D">
    <w:pPr>
      <w:pStyle w:val="Header"/>
      <w:tabs>
        <w:tab w:val="clear" w:pos="4320"/>
        <w:tab w:val="clear" w:pos="8640"/>
      </w:tabs>
    </w:pPr>
  </w:p>
  <w:p w:rsidR="00DE421D" w:rsidRDefault="00DE4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361D"/>
    <w:multiLevelType w:val="hybridMultilevel"/>
    <w:tmpl w:val="8B1055A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D2D55"/>
    <w:multiLevelType w:val="hybridMultilevel"/>
    <w:tmpl w:val="10448488"/>
    <w:lvl w:ilvl="0" w:tplc="EB06D2EA">
      <w:start w:val="1"/>
      <w:numFmt w:val="decimal"/>
      <w:lvlText w:val="%1."/>
      <w:lvlJc w:val="left"/>
      <w:pPr>
        <w:tabs>
          <w:tab w:val="num" w:pos="1068"/>
        </w:tabs>
        <w:ind w:left="1068" w:hanging="360"/>
      </w:pPr>
      <w:rPr>
        <w:rFonts w:cs="A4U" w:hint="default"/>
        <w:b w:val="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4"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653AC"/>
    <w:multiLevelType w:val="hybridMultilevel"/>
    <w:tmpl w:val="6F046E8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9"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9B2F36"/>
    <w:multiLevelType w:val="hybridMultilevel"/>
    <w:tmpl w:val="81306CF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5DB47B9B"/>
    <w:multiLevelType w:val="hybridMultilevel"/>
    <w:tmpl w:val="49AE241A"/>
    <w:lvl w:ilvl="0" w:tplc="825A349A">
      <w:start w:val="1"/>
      <w:numFmt w:val="decimal"/>
      <w:lvlText w:val="%1."/>
      <w:lvlJc w:val="left"/>
      <w:pPr>
        <w:tabs>
          <w:tab w:val="num" w:pos="765"/>
        </w:tabs>
        <w:ind w:left="765" w:hanging="40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64B13570"/>
    <w:multiLevelType w:val="hybridMultilevel"/>
    <w:tmpl w:val="1792B9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9"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AE222F"/>
    <w:multiLevelType w:val="hybridMultilevel"/>
    <w:tmpl w:val="09009D0A"/>
    <w:lvl w:ilvl="0" w:tplc="F48ADCB0">
      <w:start w:val="1"/>
      <w:numFmt w:val="decimal"/>
      <w:lvlText w:val="%1."/>
      <w:lvlJc w:val="left"/>
      <w:pPr>
        <w:tabs>
          <w:tab w:val="num" w:pos="1713"/>
        </w:tabs>
        <w:ind w:left="1713" w:hanging="1005"/>
      </w:pPr>
      <w:rPr>
        <w:rFonts w:cs="A4U" w:hint="default"/>
        <w:b w:val="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2" w15:restartNumberingAfterBreak="0">
    <w:nsid w:val="76A851EF"/>
    <w:multiLevelType w:val="hybridMultilevel"/>
    <w:tmpl w:val="8B36412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17"/>
  </w:num>
  <w:num w:numId="5">
    <w:abstractNumId w:val="2"/>
  </w:num>
  <w:num w:numId="6">
    <w:abstractNumId w:val="20"/>
  </w:num>
  <w:num w:numId="7">
    <w:abstractNumId w:val="8"/>
  </w:num>
  <w:num w:numId="8">
    <w:abstractNumId w:val="13"/>
  </w:num>
  <w:num w:numId="9">
    <w:abstractNumId w:val="16"/>
  </w:num>
  <w:num w:numId="10">
    <w:abstractNumId w:val="18"/>
  </w:num>
  <w:num w:numId="11">
    <w:abstractNumId w:val="10"/>
  </w:num>
  <w:num w:numId="12">
    <w:abstractNumId w:val="11"/>
  </w:num>
  <w:num w:numId="13">
    <w:abstractNumId w:val="19"/>
  </w:num>
  <w:num w:numId="14">
    <w:abstractNumId w:val="9"/>
  </w:num>
  <w:num w:numId="15">
    <w:abstractNumId w:val="7"/>
  </w:num>
  <w:num w:numId="16">
    <w:abstractNumId w:val="14"/>
  </w:num>
  <w:num w:numId="17">
    <w:abstractNumId w:val="21"/>
  </w:num>
  <w:num w:numId="18">
    <w:abstractNumId w:val="3"/>
  </w:num>
  <w:num w:numId="19">
    <w:abstractNumId w:val="15"/>
  </w:num>
  <w:num w:numId="20">
    <w:abstractNumId w:val="6"/>
  </w:num>
  <w:num w:numId="21">
    <w:abstractNumId w:val="0"/>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06F6D"/>
    <w:rsid w:val="00010689"/>
    <w:rsid w:val="00020E73"/>
    <w:rsid w:val="00022F0B"/>
    <w:rsid w:val="0004784E"/>
    <w:rsid w:val="00072247"/>
    <w:rsid w:val="00077487"/>
    <w:rsid w:val="000D082D"/>
    <w:rsid w:val="000D2286"/>
    <w:rsid w:val="000D5F15"/>
    <w:rsid w:val="000F05C5"/>
    <w:rsid w:val="000F356C"/>
    <w:rsid w:val="000F5130"/>
    <w:rsid w:val="00101C8F"/>
    <w:rsid w:val="001057AD"/>
    <w:rsid w:val="00152E2A"/>
    <w:rsid w:val="001713CF"/>
    <w:rsid w:val="0017388C"/>
    <w:rsid w:val="00191151"/>
    <w:rsid w:val="00195783"/>
    <w:rsid w:val="001A771E"/>
    <w:rsid w:val="001B1E02"/>
    <w:rsid w:val="001C5C71"/>
    <w:rsid w:val="0022181E"/>
    <w:rsid w:val="00235D79"/>
    <w:rsid w:val="0029002F"/>
    <w:rsid w:val="002B5A4F"/>
    <w:rsid w:val="002C563F"/>
    <w:rsid w:val="002C5E0D"/>
    <w:rsid w:val="00301364"/>
    <w:rsid w:val="00320D02"/>
    <w:rsid w:val="00345EF1"/>
    <w:rsid w:val="003669E5"/>
    <w:rsid w:val="003953F7"/>
    <w:rsid w:val="003A0F6C"/>
    <w:rsid w:val="003B4798"/>
    <w:rsid w:val="003E7455"/>
    <w:rsid w:val="004232E0"/>
    <w:rsid w:val="00454197"/>
    <w:rsid w:val="005039FC"/>
    <w:rsid w:val="00525E87"/>
    <w:rsid w:val="00554FAB"/>
    <w:rsid w:val="0055768E"/>
    <w:rsid w:val="00576444"/>
    <w:rsid w:val="005801DD"/>
    <w:rsid w:val="00592F6B"/>
    <w:rsid w:val="005B31CB"/>
    <w:rsid w:val="0060028B"/>
    <w:rsid w:val="00604E07"/>
    <w:rsid w:val="006124E3"/>
    <w:rsid w:val="006505C7"/>
    <w:rsid w:val="00656C62"/>
    <w:rsid w:val="006575F9"/>
    <w:rsid w:val="00673E7D"/>
    <w:rsid w:val="006A6093"/>
    <w:rsid w:val="006C1F92"/>
    <w:rsid w:val="006C7824"/>
    <w:rsid w:val="006E7F44"/>
    <w:rsid w:val="006F21BF"/>
    <w:rsid w:val="006F6593"/>
    <w:rsid w:val="00733A8C"/>
    <w:rsid w:val="007638BD"/>
    <w:rsid w:val="00787FEC"/>
    <w:rsid w:val="007915EE"/>
    <w:rsid w:val="007A59BA"/>
    <w:rsid w:val="007C3AD4"/>
    <w:rsid w:val="007E4A63"/>
    <w:rsid w:val="00812DE9"/>
    <w:rsid w:val="00824EE9"/>
    <w:rsid w:val="008339C3"/>
    <w:rsid w:val="00844889"/>
    <w:rsid w:val="008452BC"/>
    <w:rsid w:val="00863419"/>
    <w:rsid w:val="008708C2"/>
    <w:rsid w:val="00871FA3"/>
    <w:rsid w:val="00884E00"/>
    <w:rsid w:val="00886AD9"/>
    <w:rsid w:val="008B3F79"/>
    <w:rsid w:val="008B7BF4"/>
    <w:rsid w:val="008D2CCD"/>
    <w:rsid w:val="008F60A1"/>
    <w:rsid w:val="009016E4"/>
    <w:rsid w:val="00913DB7"/>
    <w:rsid w:val="00932E91"/>
    <w:rsid w:val="00950505"/>
    <w:rsid w:val="009537D1"/>
    <w:rsid w:val="0096299B"/>
    <w:rsid w:val="0096374B"/>
    <w:rsid w:val="009672E3"/>
    <w:rsid w:val="00967584"/>
    <w:rsid w:val="00970036"/>
    <w:rsid w:val="0099219F"/>
    <w:rsid w:val="00993E62"/>
    <w:rsid w:val="009B424A"/>
    <w:rsid w:val="009D598B"/>
    <w:rsid w:val="009E5AEA"/>
    <w:rsid w:val="00A0074E"/>
    <w:rsid w:val="00A11873"/>
    <w:rsid w:val="00A17902"/>
    <w:rsid w:val="00A179A3"/>
    <w:rsid w:val="00A829E6"/>
    <w:rsid w:val="00A87B04"/>
    <w:rsid w:val="00A97E0D"/>
    <w:rsid w:val="00AB62D2"/>
    <w:rsid w:val="00AC5DFA"/>
    <w:rsid w:val="00AD598A"/>
    <w:rsid w:val="00AE33D7"/>
    <w:rsid w:val="00B10066"/>
    <w:rsid w:val="00B2218F"/>
    <w:rsid w:val="00B232B2"/>
    <w:rsid w:val="00B330A3"/>
    <w:rsid w:val="00B4346A"/>
    <w:rsid w:val="00B4502D"/>
    <w:rsid w:val="00B45BE0"/>
    <w:rsid w:val="00B7797D"/>
    <w:rsid w:val="00B91226"/>
    <w:rsid w:val="00B94A7A"/>
    <w:rsid w:val="00BB74BB"/>
    <w:rsid w:val="00BE13AA"/>
    <w:rsid w:val="00C04D37"/>
    <w:rsid w:val="00C10EDA"/>
    <w:rsid w:val="00C12C9D"/>
    <w:rsid w:val="00C169FC"/>
    <w:rsid w:val="00C330D6"/>
    <w:rsid w:val="00C336FA"/>
    <w:rsid w:val="00C34E64"/>
    <w:rsid w:val="00C55184"/>
    <w:rsid w:val="00C83E5E"/>
    <w:rsid w:val="00C94737"/>
    <w:rsid w:val="00CB68A6"/>
    <w:rsid w:val="00CD2F9F"/>
    <w:rsid w:val="00CD368B"/>
    <w:rsid w:val="00D00288"/>
    <w:rsid w:val="00D15282"/>
    <w:rsid w:val="00D174C6"/>
    <w:rsid w:val="00D17B56"/>
    <w:rsid w:val="00D27FDB"/>
    <w:rsid w:val="00D32297"/>
    <w:rsid w:val="00D428C5"/>
    <w:rsid w:val="00D516F7"/>
    <w:rsid w:val="00D62A98"/>
    <w:rsid w:val="00D7032E"/>
    <w:rsid w:val="00D71354"/>
    <w:rsid w:val="00D7217D"/>
    <w:rsid w:val="00D75DF0"/>
    <w:rsid w:val="00D94028"/>
    <w:rsid w:val="00DB7B31"/>
    <w:rsid w:val="00DD25AE"/>
    <w:rsid w:val="00DD2758"/>
    <w:rsid w:val="00DD6716"/>
    <w:rsid w:val="00DD7A89"/>
    <w:rsid w:val="00DE0292"/>
    <w:rsid w:val="00DE421D"/>
    <w:rsid w:val="00E13140"/>
    <w:rsid w:val="00E27959"/>
    <w:rsid w:val="00E53381"/>
    <w:rsid w:val="00E67294"/>
    <w:rsid w:val="00E76029"/>
    <w:rsid w:val="00E76038"/>
    <w:rsid w:val="00EA151D"/>
    <w:rsid w:val="00EB372D"/>
    <w:rsid w:val="00F22549"/>
    <w:rsid w:val="00F71BC8"/>
    <w:rsid w:val="00F909D5"/>
    <w:rsid w:val="00FE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colormru v:ext="edit" colors="#69f,teal,red,#039,#eaeaea,#ccecff,#069,#ccf"/>
    </o:shapedefaults>
    <o:shapelayout v:ext="edit">
      <o:idmap v:ext="edit" data="1"/>
    </o:shapelayout>
  </w:shapeDefaults>
  <w:decimalSymbol w:val=","/>
  <w:listSeparator w:val=";"/>
  <w14:docId w14:val="6A2C3F3A"/>
  <w15:docId w15:val="{F6FE44F5-5C42-4A21-BC19-62DDEE13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table" w:styleId="TableGrid">
    <w:name w:val="Table Grid"/>
    <w:basedOn w:val="TableNormal"/>
    <w:rsid w:val="0091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5DF0"/>
    <w:rPr>
      <w:rFonts w:ascii="Segoe UI" w:hAnsi="Segoe UI" w:cs="Segoe UI"/>
      <w:sz w:val="18"/>
      <w:szCs w:val="18"/>
    </w:rPr>
  </w:style>
  <w:style w:type="character" w:customStyle="1" w:styleId="BalloonTextChar">
    <w:name w:val="Balloon Text Char"/>
    <w:link w:val="BalloonText"/>
    <w:rsid w:val="00D75DF0"/>
    <w:rPr>
      <w:rFonts w:ascii="Segoe UI" w:hAnsi="Segoe UI" w:cs="Segoe UI"/>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3</cp:revision>
  <cp:lastPrinted>2007-10-05T12:13:00Z</cp:lastPrinted>
  <dcterms:created xsi:type="dcterms:W3CDTF">2024-09-25T08:49:00Z</dcterms:created>
  <dcterms:modified xsi:type="dcterms:W3CDTF">2025-07-15T10:44:00Z</dcterms:modified>
</cp:coreProperties>
</file>