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E9D" w:rsidRDefault="00F17E9D" w:rsidP="00F17E9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41823"/>
          <w:sz w:val="28"/>
          <w:szCs w:val="28"/>
          <w:lang w:eastAsia="bg-BG"/>
        </w:rPr>
      </w:pPr>
    </w:p>
    <w:p w:rsidR="00435289" w:rsidRDefault="00435289" w:rsidP="00F17E9D">
      <w:pPr>
        <w:shd w:val="clear" w:color="auto" w:fill="FFFFFF"/>
        <w:spacing w:after="0" w:line="240" w:lineRule="auto"/>
        <w:rPr>
          <w:rFonts w:ascii="Arial" w:hAnsi="Arial" w:cs="Arial"/>
          <w:color w:val="CC3300"/>
          <w:sz w:val="36"/>
          <w:szCs w:val="36"/>
        </w:rPr>
      </w:pPr>
      <w:r>
        <w:rPr>
          <w:rFonts w:ascii="Arial" w:hAnsi="Arial" w:cs="Arial"/>
          <w:b/>
          <w:bCs/>
          <w:color w:val="CC3300"/>
          <w:sz w:val="36"/>
          <w:szCs w:val="36"/>
        </w:rPr>
        <w:t>Здравно осигуряване на руски гражданин</w:t>
      </w:r>
    </w:p>
    <w:p w:rsidR="00435289" w:rsidRDefault="00435289" w:rsidP="00435289">
      <w:pPr>
        <w:pStyle w:val="2"/>
        <w:spacing w:after="120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сп. „Данъчна практика”, бр. 4/2011 г.</w:t>
      </w:r>
    </w:p>
    <w:p w:rsidR="00435289" w:rsidRDefault="00B605F0" w:rsidP="00435289">
      <w:pPr>
        <w:jc w:val="right"/>
        <w:rPr>
          <w:rFonts w:ascii="Arial" w:hAnsi="Arial" w:cs="Arial"/>
          <w:color w:val="333333"/>
          <w:sz w:val="26"/>
          <w:szCs w:val="26"/>
        </w:rPr>
      </w:pPr>
      <w:hyperlink r:id="rId4" w:history="1">
        <w:r w:rsidR="00435289">
          <w:rPr>
            <w:rStyle w:val="a3"/>
            <w:rFonts w:ascii="Arial" w:hAnsi="Arial" w:cs="Arial"/>
            <w:b/>
            <w:bCs/>
            <w:color w:val="26004D"/>
            <w:sz w:val="26"/>
            <w:szCs w:val="26"/>
          </w:rPr>
          <w:t>Осигуряване</w:t>
        </w:r>
      </w:hyperlink>
    </w:p>
    <w:p w:rsidR="00435289" w:rsidRDefault="00435289" w:rsidP="00435289">
      <w:pPr>
        <w:pStyle w:val="a4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 xml:space="preserve">   Подлежи ли на здравно осигуряване руски гражданин с разрешение за продължително пребиваване в България? Следва ли да подаде декларация </w:t>
      </w:r>
      <w:proofErr w:type="spellStart"/>
      <w:r>
        <w:rPr>
          <w:rFonts w:ascii="Arial" w:hAnsi="Arial" w:cs="Arial"/>
          <w:color w:val="333333"/>
          <w:sz w:val="26"/>
          <w:szCs w:val="26"/>
        </w:rPr>
        <w:t>oбp</w:t>
      </w:r>
      <w:proofErr w:type="spellEnd"/>
      <w:r>
        <w:rPr>
          <w:rFonts w:ascii="Arial" w:hAnsi="Arial" w:cs="Arial"/>
          <w:color w:val="333333"/>
          <w:sz w:val="26"/>
          <w:szCs w:val="26"/>
        </w:rPr>
        <w:t>. № 7 като безработен? При упражняване на самостоятелна дейност като едноличен търговец какви осигурителни вноски ще дължи? Ако за</w:t>
      </w:r>
      <w:r>
        <w:rPr>
          <w:rFonts w:ascii="Arial" w:hAnsi="Arial" w:cs="Arial"/>
          <w:color w:val="333333"/>
          <w:sz w:val="26"/>
          <w:szCs w:val="26"/>
        </w:rPr>
        <w:softHyphen/>
        <w:t>почне работа по трудов договор, какви осигуровки следва да се внасят?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</w:rPr>
        <w:br/>
        <w:t>   Съгласно чл. 23 от Закона за чужден</w:t>
      </w:r>
      <w:r>
        <w:rPr>
          <w:rFonts w:ascii="Arial" w:hAnsi="Arial" w:cs="Arial"/>
          <w:color w:val="333333"/>
          <w:sz w:val="26"/>
          <w:szCs w:val="26"/>
        </w:rPr>
        <w:softHyphen/>
        <w:t>ците в Република България чужденците пре</w:t>
      </w:r>
      <w:r>
        <w:rPr>
          <w:rFonts w:ascii="Arial" w:hAnsi="Arial" w:cs="Arial"/>
          <w:color w:val="333333"/>
          <w:sz w:val="26"/>
          <w:szCs w:val="26"/>
        </w:rPr>
        <w:softHyphen/>
        <w:t>бивават в България: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</w:rPr>
        <w:br/>
        <w:t>   - краткосрочно - до 90 дни от датата на влизането в страната, като срокът мо</w:t>
      </w:r>
      <w:r>
        <w:rPr>
          <w:rFonts w:ascii="Arial" w:hAnsi="Arial" w:cs="Arial"/>
          <w:color w:val="333333"/>
          <w:sz w:val="26"/>
          <w:szCs w:val="26"/>
        </w:rPr>
        <w:softHyphen/>
        <w:t>же да бъде продължен еднократно от службите за административен контрол на чужденците по причини от хуманитарен ха</w:t>
      </w:r>
      <w:r>
        <w:rPr>
          <w:rFonts w:ascii="Arial" w:hAnsi="Arial" w:cs="Arial"/>
          <w:color w:val="333333"/>
          <w:sz w:val="26"/>
          <w:szCs w:val="26"/>
        </w:rPr>
        <w:softHyphen/>
        <w:t>рактер;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</w:rPr>
        <w:br/>
        <w:t>   - продължително - с разрешен срок до една година;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</w:rPr>
        <w:br/>
        <w:t>   - дългосрочно - с разрешен първона</w:t>
      </w:r>
      <w:r>
        <w:rPr>
          <w:rFonts w:ascii="Arial" w:hAnsi="Arial" w:cs="Arial"/>
          <w:color w:val="333333"/>
          <w:sz w:val="26"/>
          <w:szCs w:val="26"/>
        </w:rPr>
        <w:softHyphen/>
        <w:t>чален срок 5 години и възможност за под</w:t>
      </w:r>
      <w:r>
        <w:rPr>
          <w:rFonts w:ascii="Arial" w:hAnsi="Arial" w:cs="Arial"/>
          <w:color w:val="333333"/>
          <w:sz w:val="26"/>
          <w:szCs w:val="26"/>
        </w:rPr>
        <w:softHyphen/>
        <w:t>новяване след подадено заявление;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</w:rPr>
        <w:br/>
        <w:t>   - постоянно - с разрешен неопреде</w:t>
      </w:r>
      <w:r>
        <w:rPr>
          <w:rFonts w:ascii="Arial" w:hAnsi="Arial" w:cs="Arial"/>
          <w:color w:val="333333"/>
          <w:sz w:val="26"/>
          <w:szCs w:val="26"/>
        </w:rPr>
        <w:softHyphen/>
        <w:t>лен срок.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</w:rPr>
        <w:br/>
        <w:t>   За чуждите граждани, които краткос</w:t>
      </w:r>
      <w:r>
        <w:rPr>
          <w:rFonts w:ascii="Arial" w:hAnsi="Arial" w:cs="Arial"/>
          <w:color w:val="333333"/>
          <w:sz w:val="26"/>
          <w:szCs w:val="26"/>
        </w:rPr>
        <w:softHyphen/>
        <w:t>рочно и продължително пребивават в стра</w:t>
      </w:r>
      <w:r>
        <w:rPr>
          <w:rFonts w:ascii="Arial" w:hAnsi="Arial" w:cs="Arial"/>
          <w:color w:val="333333"/>
          <w:sz w:val="26"/>
          <w:szCs w:val="26"/>
        </w:rPr>
        <w:softHyphen/>
        <w:t>ната, здравноосигурителна вноска не се дължи. Те заплащат стойността на оказана</w:t>
      </w:r>
      <w:r>
        <w:rPr>
          <w:rFonts w:ascii="Arial" w:hAnsi="Arial" w:cs="Arial"/>
          <w:color w:val="333333"/>
          <w:sz w:val="26"/>
          <w:szCs w:val="26"/>
        </w:rPr>
        <w:softHyphen/>
        <w:t>та им медицинска помощ, освен ако за тях е в сила международен договор, по който Република България е страна, на основа</w:t>
      </w:r>
      <w:r>
        <w:rPr>
          <w:rFonts w:ascii="Arial" w:hAnsi="Arial" w:cs="Arial"/>
          <w:color w:val="333333"/>
          <w:sz w:val="26"/>
          <w:szCs w:val="26"/>
        </w:rPr>
        <w:softHyphen/>
        <w:t>ние</w:t>
      </w:r>
      <w:hyperlink r:id="rId5" w:anchor="686884" w:tgtFrame="_blank" w:history="1">
        <w:r>
          <w:rPr>
            <w:rStyle w:val="apple-converted-space"/>
            <w:rFonts w:ascii="Arial" w:hAnsi="Arial" w:cs="Arial"/>
            <w:b/>
            <w:bCs/>
            <w:color w:val="26004D"/>
            <w:sz w:val="26"/>
            <w:szCs w:val="26"/>
          </w:rPr>
          <w:t> </w:t>
        </w:r>
        <w:r>
          <w:rPr>
            <w:rStyle w:val="a3"/>
            <w:rFonts w:ascii="Arial" w:hAnsi="Arial" w:cs="Arial"/>
            <w:b/>
            <w:bCs/>
            <w:color w:val="26004D"/>
            <w:sz w:val="26"/>
            <w:szCs w:val="26"/>
          </w:rPr>
          <w:t>чл. 39</w:t>
        </w:r>
      </w:hyperlink>
      <w:r>
        <w:rPr>
          <w:rFonts w:ascii="Arial" w:hAnsi="Arial" w:cs="Arial"/>
          <w:color w:val="333333"/>
          <w:sz w:val="26"/>
          <w:szCs w:val="26"/>
        </w:rPr>
        <w:t>, ал. 5 от</w:t>
      </w:r>
      <w:hyperlink r:id="rId6" w:anchor="top" w:tgtFrame="_blank" w:history="1">
        <w:r>
          <w:rPr>
            <w:rStyle w:val="apple-converted-space"/>
            <w:rFonts w:ascii="Arial" w:hAnsi="Arial" w:cs="Arial"/>
            <w:b/>
            <w:bCs/>
            <w:color w:val="26004D"/>
            <w:sz w:val="26"/>
            <w:szCs w:val="26"/>
          </w:rPr>
          <w:t> </w:t>
        </w:r>
        <w:r>
          <w:rPr>
            <w:rStyle w:val="a3"/>
            <w:rFonts w:ascii="Arial" w:hAnsi="Arial" w:cs="Arial"/>
            <w:b/>
            <w:bCs/>
            <w:color w:val="26004D"/>
            <w:sz w:val="26"/>
            <w:szCs w:val="26"/>
          </w:rPr>
          <w:t>ЗЗО</w:t>
        </w:r>
      </w:hyperlink>
      <w:r>
        <w:rPr>
          <w:rFonts w:ascii="Arial" w:hAnsi="Arial" w:cs="Arial"/>
          <w:color w:val="333333"/>
          <w:sz w:val="26"/>
          <w:szCs w:val="26"/>
        </w:rPr>
        <w:t>.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</w:rPr>
        <w:br/>
        <w:t>   На основание</w:t>
      </w:r>
      <w:hyperlink r:id="rId7" w:anchor="686879" w:tgtFrame="_blank" w:history="1">
        <w:r>
          <w:rPr>
            <w:rStyle w:val="apple-converted-space"/>
            <w:rFonts w:ascii="Arial" w:hAnsi="Arial" w:cs="Arial"/>
            <w:b/>
            <w:bCs/>
            <w:color w:val="26004D"/>
            <w:sz w:val="26"/>
            <w:szCs w:val="26"/>
          </w:rPr>
          <w:t> </w:t>
        </w:r>
        <w:r>
          <w:rPr>
            <w:rStyle w:val="a3"/>
            <w:rFonts w:ascii="Arial" w:hAnsi="Arial" w:cs="Arial"/>
            <w:b/>
            <w:bCs/>
            <w:color w:val="26004D"/>
            <w:sz w:val="26"/>
            <w:szCs w:val="26"/>
          </w:rPr>
          <w:t>чл. 34</w:t>
        </w:r>
      </w:hyperlink>
      <w:r>
        <w:rPr>
          <w:rFonts w:ascii="Arial" w:hAnsi="Arial" w:cs="Arial"/>
          <w:color w:val="333333"/>
          <w:sz w:val="26"/>
          <w:szCs w:val="26"/>
        </w:rPr>
        <w:t>, ал. 1, т.2 от</w:t>
      </w:r>
      <w:hyperlink r:id="rId8" w:anchor="top" w:tgtFrame="_blank" w:history="1">
        <w:r>
          <w:rPr>
            <w:rStyle w:val="apple-converted-space"/>
            <w:rFonts w:ascii="Arial" w:hAnsi="Arial" w:cs="Arial"/>
            <w:b/>
            <w:bCs/>
            <w:color w:val="26004D"/>
            <w:sz w:val="26"/>
            <w:szCs w:val="26"/>
          </w:rPr>
          <w:t> </w:t>
        </w:r>
        <w:r>
          <w:rPr>
            <w:rStyle w:val="a3"/>
            <w:rFonts w:ascii="Arial" w:hAnsi="Arial" w:cs="Arial"/>
            <w:b/>
            <w:bCs/>
            <w:color w:val="26004D"/>
            <w:sz w:val="26"/>
            <w:szCs w:val="26"/>
          </w:rPr>
          <w:t>ЗЗО</w:t>
        </w:r>
      </w:hyperlink>
      <w:r>
        <w:rPr>
          <w:rStyle w:val="apple-converted-space"/>
          <w:rFonts w:ascii="Arial" w:hAnsi="Arial" w:cs="Arial"/>
          <w:color w:val="333333"/>
          <w:sz w:val="26"/>
          <w:szCs w:val="26"/>
        </w:rPr>
        <w:t> </w:t>
      </w:r>
      <w:r>
        <w:rPr>
          <w:rFonts w:ascii="Arial" w:hAnsi="Arial" w:cs="Arial"/>
          <w:color w:val="333333"/>
          <w:sz w:val="26"/>
          <w:szCs w:val="26"/>
        </w:rPr>
        <w:t>задължението за осигуряване на лицата въз</w:t>
      </w:r>
      <w:r>
        <w:rPr>
          <w:rFonts w:ascii="Arial" w:hAnsi="Arial" w:cs="Arial"/>
          <w:color w:val="333333"/>
          <w:sz w:val="26"/>
          <w:szCs w:val="26"/>
        </w:rPr>
        <w:softHyphen/>
        <w:t>никва от датата на получаване на разрешение за дългосрочно или постоянно преби</w:t>
      </w:r>
      <w:r>
        <w:rPr>
          <w:rFonts w:ascii="Arial" w:hAnsi="Arial" w:cs="Arial"/>
          <w:color w:val="333333"/>
          <w:sz w:val="26"/>
          <w:szCs w:val="26"/>
        </w:rPr>
        <w:softHyphen/>
        <w:t>ваване.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</w:rPr>
        <w:br/>
        <w:t>   Съгласно разпоредбата на</w:t>
      </w:r>
      <w:hyperlink r:id="rId9" w:anchor="686878" w:tgtFrame="_blank" w:history="1">
        <w:r>
          <w:rPr>
            <w:rStyle w:val="apple-converted-space"/>
            <w:rFonts w:ascii="Arial" w:hAnsi="Arial" w:cs="Arial"/>
            <w:b/>
            <w:bCs/>
            <w:color w:val="26004D"/>
            <w:sz w:val="26"/>
            <w:szCs w:val="26"/>
          </w:rPr>
          <w:t> </w:t>
        </w:r>
        <w:r>
          <w:rPr>
            <w:rStyle w:val="a3"/>
            <w:rFonts w:ascii="Arial" w:hAnsi="Arial" w:cs="Arial"/>
            <w:b/>
            <w:bCs/>
            <w:color w:val="26004D"/>
            <w:sz w:val="26"/>
            <w:szCs w:val="26"/>
          </w:rPr>
          <w:t>чл. 33</w:t>
        </w:r>
      </w:hyperlink>
      <w:r>
        <w:rPr>
          <w:rFonts w:ascii="Arial" w:hAnsi="Arial" w:cs="Arial"/>
          <w:color w:val="333333"/>
          <w:sz w:val="26"/>
          <w:szCs w:val="26"/>
        </w:rPr>
        <w:t>, ал. 1, т. 3 от</w:t>
      </w:r>
      <w:r>
        <w:rPr>
          <w:rStyle w:val="apple-converted-space"/>
          <w:rFonts w:ascii="Arial" w:hAnsi="Arial" w:cs="Arial"/>
          <w:color w:val="333333"/>
          <w:sz w:val="26"/>
          <w:szCs w:val="26"/>
        </w:rPr>
        <w:t> </w:t>
      </w:r>
      <w:hyperlink r:id="rId10" w:anchor="top" w:tgtFrame="_blank" w:history="1">
        <w:r>
          <w:rPr>
            <w:rStyle w:val="a3"/>
            <w:rFonts w:ascii="Arial" w:hAnsi="Arial" w:cs="Arial"/>
            <w:b/>
            <w:bCs/>
            <w:color w:val="26004D"/>
            <w:sz w:val="26"/>
            <w:szCs w:val="26"/>
          </w:rPr>
          <w:t xml:space="preserve">Закона за здравното </w:t>
        </w:r>
        <w:proofErr w:type="spellStart"/>
        <w:r>
          <w:rPr>
            <w:rStyle w:val="a3"/>
            <w:rFonts w:ascii="Arial" w:hAnsi="Arial" w:cs="Arial"/>
            <w:b/>
            <w:bCs/>
            <w:color w:val="26004D"/>
            <w:sz w:val="26"/>
            <w:szCs w:val="26"/>
          </w:rPr>
          <w:t>осигуряване</w:t>
        </w:r>
      </w:hyperlink>
      <w:r>
        <w:rPr>
          <w:rFonts w:ascii="Arial" w:hAnsi="Arial" w:cs="Arial"/>
          <w:color w:val="333333"/>
          <w:sz w:val="26"/>
          <w:szCs w:val="26"/>
        </w:rPr>
        <w:t>задължително</w:t>
      </w:r>
      <w:proofErr w:type="spellEnd"/>
      <w:r>
        <w:rPr>
          <w:rFonts w:ascii="Arial" w:hAnsi="Arial" w:cs="Arial"/>
          <w:color w:val="333333"/>
          <w:sz w:val="26"/>
          <w:szCs w:val="26"/>
        </w:rPr>
        <w:t xml:space="preserve"> осигурени в Националната здравноосигурителна каса са чуждите граждани или лицата без гражданство, на които е разрешено дългосрочно или постоянно пребиваване в Република България, ос</w:t>
      </w:r>
      <w:r>
        <w:rPr>
          <w:rFonts w:ascii="Arial" w:hAnsi="Arial" w:cs="Arial"/>
          <w:color w:val="333333"/>
          <w:sz w:val="26"/>
          <w:szCs w:val="26"/>
        </w:rPr>
        <w:softHyphen/>
        <w:t>вен ако е предвидено друго в междунаро</w:t>
      </w:r>
      <w:r>
        <w:rPr>
          <w:rFonts w:ascii="Arial" w:hAnsi="Arial" w:cs="Arial"/>
          <w:color w:val="333333"/>
          <w:sz w:val="26"/>
          <w:szCs w:val="26"/>
        </w:rPr>
        <w:softHyphen/>
        <w:t>ден договор, по който Република България е страна.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</w:rPr>
        <w:br/>
        <w:t>   Задължението за осигуряване на тези лица възниква от датата на получаването на разрешение за дългосрочно или постоянно пребиваване.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</w:rPr>
        <w:br/>
        <w:t>   Тъй като руският гражданин има раз</w:t>
      </w:r>
      <w:r>
        <w:rPr>
          <w:rFonts w:ascii="Arial" w:hAnsi="Arial" w:cs="Arial"/>
          <w:color w:val="333333"/>
          <w:sz w:val="26"/>
          <w:szCs w:val="26"/>
        </w:rPr>
        <w:softHyphen/>
        <w:t>решение само за продължително пребива</w:t>
      </w:r>
      <w:r>
        <w:rPr>
          <w:rFonts w:ascii="Arial" w:hAnsi="Arial" w:cs="Arial"/>
          <w:color w:val="333333"/>
          <w:sz w:val="26"/>
          <w:szCs w:val="26"/>
        </w:rPr>
        <w:softHyphen/>
        <w:t xml:space="preserve">ване в </w:t>
      </w:r>
      <w:proofErr w:type="spellStart"/>
      <w:r>
        <w:rPr>
          <w:rFonts w:ascii="Arial" w:hAnsi="Arial" w:cs="Arial"/>
          <w:color w:val="333333"/>
          <w:sz w:val="26"/>
          <w:szCs w:val="26"/>
        </w:rPr>
        <w:t>РБългария</w:t>
      </w:r>
      <w:proofErr w:type="spellEnd"/>
      <w:r>
        <w:rPr>
          <w:rFonts w:ascii="Arial" w:hAnsi="Arial" w:cs="Arial"/>
          <w:color w:val="333333"/>
          <w:sz w:val="26"/>
          <w:szCs w:val="26"/>
        </w:rPr>
        <w:t>, т.е. не е със статус на дългосрочно или постоянно пребиваващ, в настоящия момент не попада в кръга на осигурените лица по реда на</w:t>
      </w:r>
      <w:hyperlink r:id="rId11" w:anchor="686878" w:tgtFrame="_blank" w:history="1">
        <w:r>
          <w:rPr>
            <w:rStyle w:val="apple-converted-space"/>
            <w:rFonts w:ascii="Arial" w:hAnsi="Arial" w:cs="Arial"/>
            <w:b/>
            <w:bCs/>
            <w:color w:val="26004D"/>
            <w:sz w:val="26"/>
            <w:szCs w:val="26"/>
          </w:rPr>
          <w:t> </w:t>
        </w:r>
        <w:r>
          <w:rPr>
            <w:rStyle w:val="a3"/>
            <w:rFonts w:ascii="Arial" w:hAnsi="Arial" w:cs="Arial"/>
            <w:b/>
            <w:bCs/>
            <w:color w:val="26004D"/>
            <w:sz w:val="26"/>
            <w:szCs w:val="26"/>
          </w:rPr>
          <w:t>чл. 33</w:t>
        </w:r>
      </w:hyperlink>
      <w:r>
        <w:rPr>
          <w:rStyle w:val="apple-converted-space"/>
          <w:rFonts w:ascii="Arial" w:hAnsi="Arial" w:cs="Arial"/>
          <w:color w:val="333333"/>
          <w:sz w:val="26"/>
          <w:szCs w:val="26"/>
        </w:rPr>
        <w:t> </w:t>
      </w:r>
      <w:r>
        <w:rPr>
          <w:rFonts w:ascii="Arial" w:hAnsi="Arial" w:cs="Arial"/>
          <w:color w:val="333333"/>
          <w:sz w:val="26"/>
          <w:szCs w:val="26"/>
        </w:rPr>
        <w:t>от</w:t>
      </w:r>
      <w:hyperlink r:id="rId12" w:anchor="top" w:tgtFrame="_blank" w:history="1">
        <w:r>
          <w:rPr>
            <w:rStyle w:val="apple-converted-space"/>
            <w:rFonts w:ascii="Arial" w:hAnsi="Arial" w:cs="Arial"/>
            <w:b/>
            <w:bCs/>
            <w:color w:val="26004D"/>
            <w:sz w:val="26"/>
            <w:szCs w:val="26"/>
          </w:rPr>
          <w:t> </w:t>
        </w:r>
        <w:r>
          <w:rPr>
            <w:rStyle w:val="a3"/>
            <w:rFonts w:ascii="Arial" w:hAnsi="Arial" w:cs="Arial"/>
            <w:b/>
            <w:bCs/>
            <w:color w:val="26004D"/>
            <w:sz w:val="26"/>
            <w:szCs w:val="26"/>
          </w:rPr>
          <w:t>ЗЗО</w:t>
        </w:r>
      </w:hyperlink>
      <w:r>
        <w:rPr>
          <w:rStyle w:val="apple-converted-space"/>
          <w:rFonts w:ascii="Arial" w:hAnsi="Arial" w:cs="Arial"/>
          <w:color w:val="333333"/>
          <w:sz w:val="26"/>
          <w:szCs w:val="26"/>
        </w:rPr>
        <w:t> </w:t>
      </w:r>
      <w:r>
        <w:rPr>
          <w:rFonts w:ascii="Arial" w:hAnsi="Arial" w:cs="Arial"/>
          <w:color w:val="333333"/>
          <w:sz w:val="26"/>
          <w:szCs w:val="26"/>
        </w:rPr>
        <w:t>и не следва да се внасят здравноосигурителни вноски по българското законодателство.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</w:rPr>
        <w:lastRenderedPageBreak/>
        <w:t>   След като руският гражданин при</w:t>
      </w:r>
      <w:r>
        <w:rPr>
          <w:rFonts w:ascii="Arial" w:hAnsi="Arial" w:cs="Arial"/>
          <w:color w:val="333333"/>
          <w:sz w:val="26"/>
          <w:szCs w:val="26"/>
        </w:rPr>
        <w:softHyphen/>
        <w:t xml:space="preserve">добие статут на дългосрочно или постоянно пребиваващ в България, ако не подлежи на осигуряване на друго основание по реда на чл. 40, ал. 1, 2 и 3, ще е задължен да внася </w:t>
      </w:r>
      <w:proofErr w:type="spellStart"/>
      <w:r>
        <w:rPr>
          <w:rFonts w:ascii="Arial" w:hAnsi="Arial" w:cs="Arial"/>
          <w:color w:val="333333"/>
          <w:sz w:val="26"/>
          <w:szCs w:val="26"/>
        </w:rPr>
        <w:t>здравноосигу-рителни</w:t>
      </w:r>
      <w:proofErr w:type="spellEnd"/>
      <w:r>
        <w:rPr>
          <w:rFonts w:ascii="Arial" w:hAnsi="Arial" w:cs="Arial"/>
          <w:color w:val="333333"/>
          <w:sz w:val="26"/>
          <w:szCs w:val="26"/>
        </w:rPr>
        <w:t xml:space="preserve"> вноски по реда на чл. 40, ал. 5 от</w:t>
      </w:r>
      <w:hyperlink r:id="rId13" w:anchor="top" w:tgtFrame="_blank" w:history="1">
        <w:r>
          <w:rPr>
            <w:rStyle w:val="apple-converted-space"/>
            <w:rFonts w:ascii="Arial" w:hAnsi="Arial" w:cs="Arial"/>
            <w:b/>
            <w:bCs/>
            <w:color w:val="26004D"/>
            <w:sz w:val="26"/>
            <w:szCs w:val="26"/>
          </w:rPr>
          <w:t> </w:t>
        </w:r>
        <w:r>
          <w:rPr>
            <w:rStyle w:val="a3"/>
            <w:rFonts w:ascii="Arial" w:hAnsi="Arial" w:cs="Arial"/>
            <w:b/>
            <w:bCs/>
            <w:color w:val="26004D"/>
            <w:sz w:val="26"/>
            <w:szCs w:val="26"/>
          </w:rPr>
          <w:t>ЗЗО</w:t>
        </w:r>
      </w:hyperlink>
      <w:r>
        <w:rPr>
          <w:rStyle w:val="apple-converted-space"/>
          <w:rFonts w:ascii="Arial" w:hAnsi="Arial" w:cs="Arial"/>
          <w:color w:val="333333"/>
          <w:sz w:val="26"/>
          <w:szCs w:val="26"/>
        </w:rPr>
        <w:t> </w:t>
      </w:r>
      <w:r>
        <w:rPr>
          <w:rFonts w:ascii="Arial" w:hAnsi="Arial" w:cs="Arial"/>
          <w:color w:val="333333"/>
          <w:sz w:val="26"/>
          <w:szCs w:val="26"/>
        </w:rPr>
        <w:t>и съ</w:t>
      </w:r>
      <w:r>
        <w:rPr>
          <w:rFonts w:ascii="Arial" w:hAnsi="Arial" w:cs="Arial"/>
          <w:color w:val="333333"/>
          <w:sz w:val="26"/>
          <w:szCs w:val="26"/>
        </w:rPr>
        <w:softHyphen/>
        <w:t xml:space="preserve">ответно да подава декларация </w:t>
      </w:r>
      <w:proofErr w:type="spellStart"/>
      <w:r>
        <w:rPr>
          <w:rFonts w:ascii="Arial" w:hAnsi="Arial" w:cs="Arial"/>
          <w:color w:val="333333"/>
          <w:sz w:val="26"/>
          <w:szCs w:val="26"/>
        </w:rPr>
        <w:t>обр</w:t>
      </w:r>
      <w:proofErr w:type="spellEnd"/>
      <w:r>
        <w:rPr>
          <w:rFonts w:ascii="Arial" w:hAnsi="Arial" w:cs="Arial"/>
          <w:color w:val="333333"/>
          <w:sz w:val="26"/>
          <w:szCs w:val="26"/>
        </w:rPr>
        <w:t>. № 7, с която ще се декларира в компетентната ТД па НАП началната дата на периода, за който възниква задължението за внасяне на вноски на основание чл. 40, ал. 5, т. 1 от</w:t>
      </w:r>
      <w:hyperlink r:id="rId14" w:anchor="top" w:tgtFrame="_blank" w:history="1">
        <w:r>
          <w:rPr>
            <w:rStyle w:val="apple-converted-space"/>
            <w:rFonts w:ascii="Arial" w:hAnsi="Arial" w:cs="Arial"/>
            <w:b/>
            <w:bCs/>
            <w:color w:val="26004D"/>
            <w:sz w:val="26"/>
            <w:szCs w:val="26"/>
          </w:rPr>
          <w:t> </w:t>
        </w:r>
        <w:r>
          <w:rPr>
            <w:rStyle w:val="a3"/>
            <w:rFonts w:ascii="Arial" w:hAnsi="Arial" w:cs="Arial"/>
            <w:b/>
            <w:bCs/>
            <w:color w:val="26004D"/>
            <w:sz w:val="26"/>
            <w:szCs w:val="26"/>
          </w:rPr>
          <w:t>ЗЗО</w:t>
        </w:r>
      </w:hyperlink>
      <w:r>
        <w:rPr>
          <w:rFonts w:ascii="Arial" w:hAnsi="Arial" w:cs="Arial"/>
          <w:color w:val="333333"/>
          <w:sz w:val="26"/>
          <w:szCs w:val="26"/>
        </w:rPr>
        <w:t>.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</w:rPr>
        <w:br/>
        <w:t>   В заключение следва да имате предвид, че от 20 март 2010 г. е в сила договор между Ре</w:t>
      </w:r>
      <w:r>
        <w:rPr>
          <w:rFonts w:ascii="Arial" w:hAnsi="Arial" w:cs="Arial"/>
          <w:color w:val="333333"/>
          <w:sz w:val="26"/>
          <w:szCs w:val="26"/>
        </w:rPr>
        <w:softHyphen/>
        <w:t>публика България и Руската федерация за социална сигурност, обнародван в ДВ, бр. 20 от 12 март 2010 г.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</w:rPr>
        <w:br/>
        <w:t>   Съгласно чл. 6 от договора осигурените лица, спрямо които се прилага този договор, се подчиня</w:t>
      </w:r>
      <w:r>
        <w:rPr>
          <w:rFonts w:ascii="Arial" w:hAnsi="Arial" w:cs="Arial"/>
          <w:color w:val="333333"/>
          <w:sz w:val="26"/>
          <w:szCs w:val="26"/>
        </w:rPr>
        <w:softHyphen/>
        <w:t xml:space="preserve">ват изключително на </w:t>
      </w:r>
      <w:proofErr w:type="spellStart"/>
      <w:r>
        <w:rPr>
          <w:rFonts w:ascii="Arial" w:hAnsi="Arial" w:cs="Arial"/>
          <w:color w:val="333333"/>
          <w:sz w:val="26"/>
          <w:szCs w:val="26"/>
        </w:rPr>
        <w:t>закогюдателството</w:t>
      </w:r>
      <w:proofErr w:type="spellEnd"/>
      <w:r>
        <w:rPr>
          <w:rFonts w:ascii="Arial" w:hAnsi="Arial" w:cs="Arial"/>
          <w:color w:val="333333"/>
          <w:sz w:val="26"/>
          <w:szCs w:val="26"/>
        </w:rPr>
        <w:t xml:space="preserve"> на тази до</w:t>
      </w:r>
      <w:r>
        <w:rPr>
          <w:rFonts w:ascii="Arial" w:hAnsi="Arial" w:cs="Arial"/>
          <w:color w:val="333333"/>
          <w:sz w:val="26"/>
          <w:szCs w:val="26"/>
        </w:rPr>
        <w:softHyphen/>
        <w:t xml:space="preserve">говаряща страна, па територията на която извършват трудова </w:t>
      </w:r>
      <w:proofErr w:type="spellStart"/>
      <w:r>
        <w:rPr>
          <w:rFonts w:ascii="Arial" w:hAnsi="Arial" w:cs="Arial"/>
          <w:color w:val="333333"/>
          <w:sz w:val="26"/>
          <w:szCs w:val="26"/>
        </w:rPr>
        <w:t>дегаюст</w:t>
      </w:r>
      <w:proofErr w:type="spellEnd"/>
      <w:r>
        <w:rPr>
          <w:rFonts w:ascii="Arial" w:hAnsi="Arial" w:cs="Arial"/>
          <w:color w:val="333333"/>
          <w:sz w:val="26"/>
          <w:szCs w:val="26"/>
        </w:rPr>
        <w:t>.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</w:rPr>
        <w:br/>
        <w:t>   Договорът се прилага за законодателството, ко</w:t>
      </w:r>
      <w:r>
        <w:rPr>
          <w:rFonts w:ascii="Arial" w:hAnsi="Arial" w:cs="Arial"/>
          <w:color w:val="333333"/>
          <w:sz w:val="26"/>
          <w:szCs w:val="26"/>
        </w:rPr>
        <w:softHyphen/>
        <w:t>ето е посочено в чл. 2 от него. По отношение на Бъл</w:t>
      </w:r>
      <w:r>
        <w:rPr>
          <w:rFonts w:ascii="Arial" w:hAnsi="Arial" w:cs="Arial"/>
          <w:color w:val="333333"/>
          <w:sz w:val="26"/>
          <w:szCs w:val="26"/>
        </w:rPr>
        <w:softHyphen/>
        <w:t>гария този договор се отнася до: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</w:rPr>
        <w:br/>
        <w:t>   - обезщетения за временна неработоспособност;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</w:rPr>
        <w:br/>
        <w:t>   - обезщетения за майчинство;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</w:rPr>
        <w:br/>
        <w:t>   - семейни помощи за деца;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</w:rPr>
        <w:br/>
        <w:t>   - пенсии за инвалидност поради трудова злопо</w:t>
      </w:r>
      <w:r>
        <w:rPr>
          <w:rFonts w:ascii="Arial" w:hAnsi="Arial" w:cs="Arial"/>
          <w:color w:val="333333"/>
          <w:sz w:val="26"/>
          <w:szCs w:val="26"/>
        </w:rPr>
        <w:softHyphen/>
        <w:t>лука или професионална болест;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</w:rPr>
        <w:br/>
        <w:t>   - пенсии за осигурителен стаж и възраст и за инвалидност поради общо заболяване;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</w:rPr>
        <w:br/>
        <w:t>   - наследствени пенсии;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</w:rPr>
        <w:br/>
        <w:t>   - пенсии, несвързани с трудова дейност;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</w:rPr>
        <w:br/>
        <w:t>   - помощ при смърт.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</w:rPr>
        <w:br/>
        <w:t>   В материалния обхват на договора (чл. 2) са оп</w:t>
      </w:r>
      <w:r>
        <w:rPr>
          <w:rFonts w:ascii="Arial" w:hAnsi="Arial" w:cs="Arial"/>
          <w:color w:val="333333"/>
          <w:sz w:val="26"/>
          <w:szCs w:val="26"/>
        </w:rPr>
        <w:softHyphen/>
        <w:t>ределени клоновете на социална сигурност и права</w:t>
      </w:r>
      <w:r>
        <w:rPr>
          <w:rFonts w:ascii="Arial" w:hAnsi="Arial" w:cs="Arial"/>
          <w:color w:val="333333"/>
          <w:sz w:val="26"/>
          <w:szCs w:val="26"/>
        </w:rPr>
        <w:softHyphen/>
        <w:t>та, които лицето ползва от тези клонове за сметка на държавата, която е определена като компетентна. В същите не са посочени права на лицата, свързани със здравното осигуряване.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</w:rPr>
        <w:br/>
        <w:t>   сп. „Данъчна практика”, бр. 4/2011 г.</w:t>
      </w:r>
    </w:p>
    <w:p w:rsidR="00435289" w:rsidRPr="00435289" w:rsidRDefault="00435289">
      <w:pPr>
        <w:rPr>
          <w:lang w:val="en-US"/>
        </w:rPr>
      </w:pPr>
    </w:p>
    <w:sectPr w:rsidR="00435289" w:rsidRPr="00435289" w:rsidSect="00F17E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35289"/>
    <w:rsid w:val="003D7584"/>
    <w:rsid w:val="00435289"/>
    <w:rsid w:val="00B46B5B"/>
    <w:rsid w:val="00B605F0"/>
    <w:rsid w:val="00F17E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B5B"/>
  </w:style>
  <w:style w:type="paragraph" w:styleId="1">
    <w:name w:val="heading 1"/>
    <w:basedOn w:val="a"/>
    <w:next w:val="a"/>
    <w:link w:val="10"/>
    <w:uiPriority w:val="9"/>
    <w:qFormat/>
    <w:rsid w:val="0043528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3528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link w:val="50"/>
    <w:uiPriority w:val="9"/>
    <w:qFormat/>
    <w:rsid w:val="0043528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лавие 5 Знак"/>
    <w:basedOn w:val="a0"/>
    <w:link w:val="5"/>
    <w:uiPriority w:val="9"/>
    <w:rsid w:val="00435289"/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character" w:customStyle="1" w:styleId="fwb">
    <w:name w:val="fwb"/>
    <w:basedOn w:val="a0"/>
    <w:rsid w:val="00435289"/>
  </w:style>
  <w:style w:type="character" w:styleId="a3">
    <w:name w:val="Hyperlink"/>
    <w:basedOn w:val="a0"/>
    <w:uiPriority w:val="99"/>
    <w:semiHidden/>
    <w:unhideWhenUsed/>
    <w:rsid w:val="00435289"/>
    <w:rPr>
      <w:color w:val="0000FF"/>
      <w:u w:val="single"/>
    </w:rPr>
  </w:style>
  <w:style w:type="character" w:customStyle="1" w:styleId="fsm">
    <w:name w:val="fsm"/>
    <w:basedOn w:val="a0"/>
    <w:rsid w:val="00435289"/>
  </w:style>
  <w:style w:type="paragraph" w:styleId="a4">
    <w:name w:val="Normal (Web)"/>
    <w:basedOn w:val="a"/>
    <w:uiPriority w:val="99"/>
    <w:semiHidden/>
    <w:unhideWhenUsed/>
    <w:rsid w:val="00435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10">
    <w:name w:val="Заглавие 1 Знак"/>
    <w:basedOn w:val="a0"/>
    <w:link w:val="1"/>
    <w:uiPriority w:val="9"/>
    <w:rsid w:val="004352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лавие 2 Знак"/>
    <w:basedOn w:val="a0"/>
    <w:link w:val="2"/>
    <w:uiPriority w:val="9"/>
    <w:semiHidden/>
    <w:rsid w:val="004352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basedOn w:val="a0"/>
    <w:uiPriority w:val="22"/>
    <w:qFormat/>
    <w:rsid w:val="00435289"/>
    <w:rPr>
      <w:b/>
      <w:bCs/>
    </w:rPr>
  </w:style>
  <w:style w:type="character" w:customStyle="1" w:styleId="apple-converted-space">
    <w:name w:val="apple-converted-space"/>
    <w:basedOn w:val="a0"/>
    <w:rsid w:val="004352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8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784346">
          <w:marLeft w:val="0"/>
          <w:marRight w:val="0"/>
          <w:marTop w:val="0"/>
          <w:marBottom w:val="2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61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80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70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5135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4672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6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4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kspertis.net/document/view/law/23179/40757" TargetMode="External"/><Relationship Id="rId13" Type="http://schemas.openxmlformats.org/officeDocument/2006/relationships/hyperlink" Target="http://www.ekspertis.net/document/view/law/23179/4075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ekspertis.net/document/view/law/23179/40757" TargetMode="External"/><Relationship Id="rId12" Type="http://schemas.openxmlformats.org/officeDocument/2006/relationships/hyperlink" Target="http://www.ekspertis.net/document/view/law/23179/40757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ekspertis.net/document/view/law/23179/40757" TargetMode="External"/><Relationship Id="rId11" Type="http://schemas.openxmlformats.org/officeDocument/2006/relationships/hyperlink" Target="http://www.ekspertis.net/document/view/law/23179/40757" TargetMode="External"/><Relationship Id="rId5" Type="http://schemas.openxmlformats.org/officeDocument/2006/relationships/hyperlink" Target="http://www.ekspertis.net/document/view/law/23179/40757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ekspertis.net/document/view/law/23179/40757" TargetMode="External"/><Relationship Id="rId4" Type="http://schemas.openxmlformats.org/officeDocument/2006/relationships/hyperlink" Target="http://zakonnik.bg/doccategory/expand/2186" TargetMode="External"/><Relationship Id="rId9" Type="http://schemas.openxmlformats.org/officeDocument/2006/relationships/hyperlink" Target="http://www.ekspertis.net/document/view/law/23179/40757" TargetMode="External"/><Relationship Id="rId14" Type="http://schemas.openxmlformats.org/officeDocument/2006/relationships/hyperlink" Target="http://www.ekspertis.net/document/view/law/23179/40757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737</Words>
  <Characters>4203</Characters>
  <Application>Microsoft Office Word</Application>
  <DocSecurity>0</DocSecurity>
  <Lines>35</Lines>
  <Paragraphs>9</Paragraphs>
  <ScaleCrop>false</ScaleCrop>
  <Company/>
  <LinksUpToDate>false</LinksUpToDate>
  <CharactersWithSpaces>4931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2014-12-16T07:37:00Z</dcterms:created>
  <dcterms:modified xsi:type="dcterms:W3CDTF">2014-12-16T08:13:00Z</dcterms:modified>
</cp:coreProperties>
</file>