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C3C" w:rsidRPr="00420C3C" w:rsidRDefault="00420C3C" w:rsidP="00420C3C">
      <w:pPr>
        <w:pBdr>
          <w:bottom w:val="single" w:sz="6" w:space="1" w:color="auto"/>
        </w:pBdr>
        <w:spacing w:after="0" w:line="240" w:lineRule="auto"/>
        <w:jc w:val="center"/>
        <w:rPr>
          <w:rFonts w:ascii="Arial" w:eastAsia="Times New Roman" w:hAnsi="Arial" w:cs="Arial"/>
          <w:vanish/>
          <w:sz w:val="16"/>
          <w:szCs w:val="16"/>
        </w:rPr>
      </w:pPr>
      <w:r w:rsidRPr="00420C3C">
        <w:rPr>
          <w:rFonts w:ascii="Arial" w:eastAsia="Times New Roman" w:hAnsi="Arial" w:cs="Arial"/>
          <w:vanish/>
          <w:sz w:val="16"/>
          <w:szCs w:val="16"/>
        </w:rPr>
        <w:t>Top of Form</w:t>
      </w:r>
    </w:p>
    <w:tbl>
      <w:tblPr>
        <w:tblW w:w="5000" w:type="pct"/>
        <w:tblCellSpacing w:w="0" w:type="dxa"/>
        <w:tblCellMar>
          <w:left w:w="0" w:type="dxa"/>
          <w:right w:w="0" w:type="dxa"/>
        </w:tblCellMar>
        <w:tblLook w:val="04A0"/>
      </w:tblPr>
      <w:tblGrid>
        <w:gridCol w:w="9406"/>
      </w:tblGrid>
      <w:tr w:rsidR="00420C3C" w:rsidRPr="00420C3C" w:rsidTr="00420C3C">
        <w:trPr>
          <w:tblCellSpacing w:w="0" w:type="dxa"/>
        </w:trPr>
        <w:tc>
          <w:tcPr>
            <w:tcW w:w="0" w:type="auto"/>
            <w:vAlign w:val="center"/>
            <w:hideMark/>
          </w:tcPr>
          <w:tbl>
            <w:tblPr>
              <w:tblW w:w="5000" w:type="pct"/>
              <w:tblCellSpacing w:w="0" w:type="dxa"/>
              <w:tblCellMar>
                <w:left w:w="0" w:type="dxa"/>
                <w:right w:w="0" w:type="dxa"/>
              </w:tblCellMar>
              <w:tblLook w:val="04A0"/>
            </w:tblPr>
            <w:tblGrid>
              <w:gridCol w:w="9406"/>
            </w:tblGrid>
            <w:tr w:rsidR="00420C3C" w:rsidRPr="00420C3C">
              <w:trPr>
                <w:trHeight w:val="3000"/>
                <w:tblCellSpacing w:w="0" w:type="dxa"/>
              </w:trPr>
              <w:tc>
                <w:tcPr>
                  <w:tcW w:w="6" w:type="dxa"/>
                  <w:shd w:val="clear" w:color="auto" w:fill="FFFFFF"/>
                  <w:hideMark/>
                </w:tcPr>
                <w:tbl>
                  <w:tblPr>
                    <w:tblW w:w="5000" w:type="pct"/>
                    <w:jc w:val="center"/>
                    <w:tblCellSpacing w:w="0" w:type="dxa"/>
                    <w:tblCellMar>
                      <w:left w:w="0" w:type="dxa"/>
                      <w:right w:w="0" w:type="dxa"/>
                    </w:tblCellMar>
                    <w:tblLook w:val="04A0"/>
                  </w:tblPr>
                  <w:tblGrid>
                    <w:gridCol w:w="9400"/>
                    <w:gridCol w:w="6"/>
                  </w:tblGrid>
                  <w:tr w:rsidR="00420C3C" w:rsidRPr="00420C3C">
                    <w:trPr>
                      <w:tblCellSpacing w:w="0" w:type="dxa"/>
                      <w:jc w:val="center"/>
                    </w:trPr>
                    <w:tc>
                      <w:tcPr>
                        <w:tcW w:w="11400" w:type="dxa"/>
                        <w:shd w:val="clear" w:color="auto" w:fill="FFFFFF"/>
                        <w:hideMark/>
                      </w:tcPr>
                      <w:tbl>
                        <w:tblPr>
                          <w:tblW w:w="5000" w:type="pct"/>
                          <w:tblCellSpacing w:w="0" w:type="dxa"/>
                          <w:tblBorders>
                            <w:top w:val="single" w:sz="4" w:space="0" w:color="909090"/>
                            <w:left w:val="single" w:sz="4" w:space="0" w:color="909090"/>
                            <w:bottom w:val="single" w:sz="4" w:space="0" w:color="909090"/>
                            <w:right w:val="single" w:sz="4" w:space="0" w:color="909090"/>
                          </w:tblBorders>
                          <w:tblCellMar>
                            <w:left w:w="0" w:type="dxa"/>
                            <w:right w:w="0" w:type="dxa"/>
                          </w:tblCellMar>
                          <w:tblLook w:val="04A0"/>
                        </w:tblPr>
                        <w:tblGrid>
                          <w:gridCol w:w="9374"/>
                          <w:gridCol w:w="16"/>
                        </w:tblGrid>
                        <w:tr w:rsidR="00420C3C" w:rsidRPr="00420C3C">
                          <w:trPr>
                            <w:tblCellSpacing w:w="0" w:type="dxa"/>
                          </w:trPr>
                          <w:tc>
                            <w:tcPr>
                              <w:tcW w:w="7620" w:type="dxa"/>
                              <w:shd w:val="clear" w:color="auto" w:fill="DAE1EA"/>
                              <w:hideMark/>
                            </w:tcPr>
                            <w:tbl>
                              <w:tblPr>
                                <w:tblW w:w="5000" w:type="pct"/>
                                <w:tblCellSpacing w:w="0" w:type="dxa"/>
                                <w:tblCellMar>
                                  <w:left w:w="0" w:type="dxa"/>
                                  <w:right w:w="0" w:type="dxa"/>
                                </w:tblCellMar>
                                <w:tblLook w:val="04A0"/>
                              </w:tblPr>
                              <w:tblGrid>
                                <w:gridCol w:w="9364"/>
                              </w:tblGrid>
                              <w:tr w:rsidR="00420C3C" w:rsidRPr="00420C3C">
                                <w:trPr>
                                  <w:tblCellSpacing w:w="0" w:type="dxa"/>
                                </w:trPr>
                                <w:tc>
                                  <w:tcPr>
                                    <w:tcW w:w="0" w:type="auto"/>
                                    <w:hideMark/>
                                  </w:tcPr>
                                  <w:tbl>
                                    <w:tblPr>
                                      <w:tblW w:w="5935" w:type="dxa"/>
                                      <w:tblCellSpacing w:w="15" w:type="dxa"/>
                                      <w:tblCellMar>
                                        <w:top w:w="15" w:type="dxa"/>
                                        <w:left w:w="15" w:type="dxa"/>
                                        <w:bottom w:w="15" w:type="dxa"/>
                                        <w:right w:w="15" w:type="dxa"/>
                                      </w:tblCellMar>
                                      <w:tblLook w:val="04A0"/>
                                    </w:tblPr>
                                    <w:tblGrid>
                                      <w:gridCol w:w="9364"/>
                                    </w:tblGrid>
                                    <w:tr w:rsidR="00420C3C" w:rsidRPr="00420C3C" w:rsidTr="00420C3C">
                                      <w:trPr>
                                        <w:tblCellSpacing w:w="15" w:type="dxa"/>
                                      </w:trPr>
                                      <w:tc>
                                        <w:tcPr>
                                          <w:tcW w:w="0" w:type="auto"/>
                                          <w:vAlign w:val="center"/>
                                          <w:hideMark/>
                                        </w:tcPr>
                                        <w:p w:rsidR="00420C3C" w:rsidRPr="00420C3C" w:rsidRDefault="00420C3C" w:rsidP="00420C3C">
                                          <w:pPr>
                                            <w:spacing w:after="0" w:line="163" w:lineRule="atLeast"/>
                                            <w:jc w:val="both"/>
                                            <w:rPr>
                                              <w:rFonts w:ascii="Calibri" w:eastAsia="Times New Roman" w:hAnsi="Calibri" w:cs="Calibri"/>
                                              <w:color w:val="000000"/>
                                              <w:sz w:val="24"/>
                                              <w:szCs w:val="24"/>
                                            </w:rPr>
                                          </w:pPr>
                                          <w:r w:rsidRPr="00420C3C">
                                            <w:rPr>
                                              <w:rFonts w:ascii="Arial" w:eastAsia="Times New Roman" w:hAnsi="Arial" w:cs="Arial"/>
                                              <w:b/>
                                              <w:bCs/>
                                              <w:color w:val="000000"/>
                                              <w:sz w:val="20"/>
                                              <w:szCs w:val="20"/>
                                              <w:lang w:val="bg-BG"/>
                                            </w:rPr>
                                            <w:t>Минимална работна заплата в Германия</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От 1.1.2015 г. в Германия беше въведена минимална работна заплата от 8,50 евро на час. Компетентните власти в Германия прилагат изискванията на новия Закон за минималната заплата (</w:t>
                                          </w:r>
                                          <w:r w:rsidRPr="00420C3C">
                                            <w:rPr>
                                              <w:rFonts w:ascii="Arial" w:eastAsia="Times New Roman" w:hAnsi="Arial" w:cs="Arial"/>
                                              <w:color w:val="000000"/>
                                              <w:sz w:val="20"/>
                                              <w:szCs w:val="20"/>
                                            </w:rPr>
                                            <w:t>Mindestlohngesetz</w:t>
                                          </w:r>
                                          <w:r w:rsidRPr="00420C3C">
                                            <w:rPr>
                                              <w:rFonts w:ascii="Arial" w:eastAsia="Times New Roman" w:hAnsi="Arial" w:cs="Arial"/>
                                              <w:color w:val="000000"/>
                                              <w:sz w:val="20"/>
                                              <w:szCs w:val="20"/>
                                              <w:lang w:val="bg-BG"/>
                                            </w:rPr>
                                            <w:t>) както спрямо немските, така и спрямо чуждестранните превозвачи, извършващи каботажни и/или международни превози до/от и транзит през територията на Германия.</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Компетентен орган по прилагането на закона са митническите власти на Германия. </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1. Минимална заплата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Работодателите трябва да заплащат на своите работници и служители брутна минимална заплата от 8.50 евро за всеки час, изработен на територията на Германия. Тази заплата трябва да бъде платена най-късно в последния работен ден на банките от месеца след извършването на превоза.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Митническите власти на Германия са публикували обща информация за елементите от възнагражденията на работниците, които могат да бъдат разглеждани като част от минималната заплата. Минималната заплата е брутна заплата. Различни надбавки или доплащания се считат за елементи от минималната заплата, ако тяхното изплащане не зависи от извършена работа от работника,  различаваща се от нормалната работа, за която е договорена заплатата.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Пример за надбавки, които</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винаги се включват</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lang w:val="bg-BG"/>
                                            </w:rPr>
                                            <w:t>в заплатата, са доплащания, определени в трудовия договор като компенсация на разликата между местната (в родината) заплата и дължимата минимална работна заплата за Германия.</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Примери за надбавки, които</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не се признават</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lang w:val="bg-BG"/>
                                            </w:rPr>
                                            <w:t>за елементи от заплатата:</w:t>
                                          </w:r>
                                        </w:p>
                                        <w:p w:rsidR="00420C3C" w:rsidRPr="00420C3C" w:rsidRDefault="00420C3C" w:rsidP="00420C3C">
                                          <w:pPr>
                                            <w:spacing w:before="100" w:beforeAutospacing="1" w:after="100" w:afterAutospacing="1" w:line="163" w:lineRule="atLeast"/>
                                            <w:ind w:firstLine="360"/>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надбавки, изплащането на които зависи от следното:  извършена повече работа за единица време; постигнати качествени резултати от труда над средното ниво; работа в специфично време (напр. положен извънреден труд, работа в неделя или празнични дни, работа при тежки и опасни условия);</w:t>
                                          </w:r>
                                        </w:p>
                                        <w:p w:rsidR="00420C3C" w:rsidRPr="00420C3C" w:rsidRDefault="00420C3C" w:rsidP="00420C3C">
                                          <w:pPr>
                                            <w:spacing w:before="100" w:beforeAutospacing="1" w:after="100" w:afterAutospacing="1" w:line="163" w:lineRule="atLeast"/>
                                            <w:ind w:firstLine="360"/>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надбавки за командировки, при условие че са заплатени да компенсират действителни разноски за командировката на работника (напр. разноски за храна и квартирни, пътни):</w:t>
                                          </w:r>
                                        </w:p>
                                        <w:p w:rsidR="00420C3C" w:rsidRPr="00420C3C" w:rsidRDefault="00420C3C" w:rsidP="00420C3C">
                                          <w:pPr>
                                            <w:numPr>
                                              <w:ilvl w:val="0"/>
                                              <w:numId w:val="1"/>
                                            </w:num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Arial" w:eastAsia="Times New Roman" w:hAnsi="Arial" w:cs="Arial"/>
                                              <w:color w:val="000000"/>
                                              <w:sz w:val="20"/>
                                              <w:szCs w:val="20"/>
                                              <w:lang w:val="bg-BG"/>
                                            </w:rPr>
                                            <w:t>В случай че работодателят заплати на работника обща сума, в която се съдържат суми, с които работникът трябва сам да покрива разноските си за нощувка и/или храна, то от общата сума трябва да се извади най-ниската ставка за нощувка, респективно за храна, определени с Наредбата за заплащане на социални осигуровки (</w:t>
                                          </w:r>
                                          <w:r w:rsidRPr="00420C3C">
                                            <w:rPr>
                                              <w:rFonts w:ascii="Arial" w:eastAsia="Times New Roman" w:hAnsi="Arial" w:cs="Arial"/>
                                              <w:color w:val="000000"/>
                                              <w:sz w:val="20"/>
                                              <w:szCs w:val="20"/>
                                              <w:lang w:val="de-DE"/>
                                            </w:rPr>
                                            <w:t>Sozialversicherungsentgeltverordnung 2015</w:t>
                                          </w:r>
                                          <w:r w:rsidRPr="00420C3C">
                                            <w:rPr>
                                              <w:rFonts w:ascii="Arial" w:eastAsia="Times New Roman" w:hAnsi="Arial" w:cs="Arial"/>
                                              <w:color w:val="000000"/>
                                              <w:sz w:val="20"/>
                                              <w:szCs w:val="20"/>
                                              <w:lang w:val="bg-BG"/>
                                            </w:rPr>
                                            <w:t>);</w:t>
                                          </w:r>
                                        </w:p>
                                        <w:p w:rsidR="00420C3C" w:rsidRPr="00420C3C" w:rsidRDefault="00420C3C" w:rsidP="00420C3C">
                                          <w:pPr>
                                            <w:numPr>
                                              <w:ilvl w:val="0"/>
                                              <w:numId w:val="1"/>
                                            </w:num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Arial" w:eastAsia="Times New Roman" w:hAnsi="Arial" w:cs="Arial"/>
                                              <w:color w:val="000000"/>
                                              <w:sz w:val="20"/>
                                              <w:szCs w:val="20"/>
                                              <w:lang w:val="bg-BG"/>
                                            </w:rPr>
                                            <w:t>В случай че работодателят осигурява на работника допълнително към заплатата квартира и храна в натура, тяхната стойност не се признава за елемент на работната заплата;</w:t>
                                          </w:r>
                                        </w:p>
                                        <w:p w:rsidR="00420C3C" w:rsidRPr="00420C3C" w:rsidRDefault="00420C3C" w:rsidP="00420C3C">
                                          <w:pPr>
                                            <w:numPr>
                                              <w:ilvl w:val="0"/>
                                              <w:numId w:val="1"/>
                                            </w:num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Arial" w:eastAsia="Times New Roman" w:hAnsi="Arial" w:cs="Arial"/>
                                              <w:color w:val="000000"/>
                                              <w:sz w:val="20"/>
                                              <w:szCs w:val="20"/>
                                              <w:lang w:val="bg-BG"/>
                                            </w:rPr>
                                            <w:t>В случай че работодател изплаща заплата, от която е приспадната стойността на услуги, предоставени от него на работника (напр. квартира, храна), то само реално изплатената сума се счита за минимална работна заплата.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Допълнителни плащания като Коледни надбавки и добавки за отпуск се зачитат като част от минималната заплата, ако работникът е получил действително и безвъзвратно съответната пропорционална сума за периода на командировката до крайния срок, в който се получава минималната заплата. </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Times New Roman" w:eastAsia="Times New Roman" w:hAnsi="Times New Roman" w:cs="Times New Roman"/>
                                              <w:color w:val="000000"/>
                                              <w:sz w:val="20"/>
                                              <w:szCs w:val="20"/>
                                              <w:lang w:val="bg-BG"/>
                                            </w:rPr>
                                            <w:lastRenderedPageBreak/>
                                            <w:t>           </w:t>
                                          </w:r>
                                          <w:r w:rsidRPr="00420C3C">
                                            <w:rPr>
                                              <w:rFonts w:ascii="Times New Roman" w:eastAsia="Times New Roman" w:hAnsi="Times New Roman" w:cs="Times New Roman"/>
                                              <w:color w:val="000000"/>
                                              <w:sz w:val="20"/>
                                              <w:lang w:val="bg-BG"/>
                                            </w:rPr>
                                            <w:t> </w:t>
                                          </w:r>
                                          <w:r w:rsidRPr="00420C3C">
                                            <w:rPr>
                                              <w:rFonts w:ascii="Arial" w:eastAsia="Times New Roman" w:hAnsi="Arial" w:cs="Arial"/>
                                              <w:b/>
                                              <w:bCs/>
                                              <w:color w:val="000000"/>
                                              <w:sz w:val="20"/>
                                              <w:szCs w:val="20"/>
                                              <w:lang w:val="bg-BG"/>
                                            </w:rPr>
                                            <w:t>2. Задължение за подаване на уведомление</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Параграф 16 на закона определя задължение за работодателите със седалище в чужбина, чиито работници извършват работа на територията на Германия, да изпращат писмено уведомление преди началото на всяка услуга (превоз) до компетентната митническа служба.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С Наредбата за деклариране на минималната работна заплата (</w:t>
                                          </w:r>
                                          <w:r w:rsidRPr="00420C3C">
                                            <w:rPr>
                                              <w:rFonts w:ascii="Arial" w:eastAsia="Times New Roman" w:hAnsi="Arial" w:cs="Arial"/>
                                              <w:color w:val="000000"/>
                                              <w:sz w:val="20"/>
                                              <w:szCs w:val="20"/>
                                            </w:rPr>
                                            <w:t>MiLoMeldV</w:t>
                                          </w:r>
                                          <w:r w:rsidRPr="00420C3C">
                                            <w:rPr>
                                              <w:rFonts w:ascii="Arial" w:eastAsia="Times New Roman" w:hAnsi="Arial" w:cs="Arial"/>
                                              <w:color w:val="000000"/>
                                              <w:sz w:val="20"/>
                                              <w:szCs w:val="20"/>
                                              <w:lang w:val="bg-BG"/>
                                            </w:rPr>
                                            <w:t>) се въвежда облекчението за работодатели, чиито работници извършват само мобилни дейности, каквито са превозите на пътници и товари, вместо преди всеки превоз да подават уведомления във вид на план-график  на работата за период не по-дълъг от 6 месеца със следните данни:</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1. начало и очаквана продължителност на услугата (превоза);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2. име, фамилия и дата на раждане на предполагаемия работник, който ще извършва услугата;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3. декларация от работодателя, че спазва задължението за заплащане на минималната работна заплата;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4. адрес (възможно е и извън Германия), на който се съхраняват документите, и по-специално трудовите договори, записите на работното време, отчетите/начисленията на работните заплати, доказателствата за реално извършените плащания на заплатите;</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5. в случай че посоченият адрес е извън Германия, при първото подаване на уведомление трябва да се приложи и декларация, че при поискване документите ще бъдат предоставени на немски език на митническата администрация в Германия.</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b/>
                                              <w:bCs/>
                                              <w:color w:val="000000"/>
                                              <w:sz w:val="20"/>
                                              <w:szCs w:val="20"/>
                                              <w:lang w:val="bg-BG"/>
                                            </w:rPr>
                                            <w:t>     Наредбата освобождава превозвачите на пътници и товари от задължението да уведомяват при настъпили промени в план-графика.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b/>
                                              <w:bCs/>
                                              <w:color w:val="000000"/>
                                              <w:sz w:val="20"/>
                                              <w:szCs w:val="20"/>
                                              <w:lang w:val="bg-BG"/>
                                            </w:rPr>
                                            <w:t>    </w:t>
                                          </w:r>
                                          <w:r w:rsidRPr="00420C3C">
                                            <w:rPr>
                                              <w:rFonts w:ascii="Arial" w:eastAsia="Times New Roman" w:hAnsi="Arial" w:cs="Arial"/>
                                              <w:b/>
                                              <w:bCs/>
                                              <w:color w:val="000000"/>
                                              <w:sz w:val="20"/>
                                              <w:lang w:val="bg-BG"/>
                                            </w:rPr>
                                            <w:t> </w:t>
                                          </w:r>
                                          <w:r w:rsidRPr="00420C3C">
                                            <w:rPr>
                                              <w:rFonts w:ascii="Arial" w:eastAsia="Times New Roman" w:hAnsi="Arial" w:cs="Arial"/>
                                              <w:color w:val="000000"/>
                                              <w:sz w:val="20"/>
                                              <w:szCs w:val="20"/>
                                              <w:lang w:val="bg-BG"/>
                                            </w:rPr>
                                            <w:t>Не се изисква при превозите шофьорите да носят документи, свързани със заплащането им. Проверки на пътя по този закон няма да се извършват.</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При поискване от немските компетентни органи документите, посочени по-горе в т. 4, преведени на немски език, трябва да се изпратят в Германия, като се предоставят и данни за действително извършените превози през планирания период, както и за съответния им заявител (товародател/спедитор).</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Наредбата за компетентната служба за подаване на уведомленията за минималната работна заплата (</w:t>
                                          </w:r>
                                          <w:r w:rsidRPr="00420C3C">
                                            <w:rPr>
                                              <w:rFonts w:ascii="Arial" w:eastAsia="Times New Roman" w:hAnsi="Arial" w:cs="Arial"/>
                                              <w:color w:val="000000"/>
                                              <w:sz w:val="20"/>
                                              <w:szCs w:val="20"/>
                                            </w:rPr>
                                            <w:t>MiLoMeldStellV</w:t>
                                          </w:r>
                                          <w:r w:rsidRPr="00420C3C">
                                            <w:rPr>
                                              <w:rFonts w:ascii="Arial" w:eastAsia="Times New Roman" w:hAnsi="Arial" w:cs="Arial"/>
                                              <w:color w:val="000000"/>
                                              <w:sz w:val="20"/>
                                              <w:szCs w:val="20"/>
                                              <w:lang w:val="bg-BG"/>
                                            </w:rPr>
                                            <w:t>) определя, че компетентен орган на митническата администрация за процедурата по декларирането на минималната работна заплата от чуждестранни работодатели е Федералната финансова дирекция Запад (</w:t>
                                          </w:r>
                                          <w:r w:rsidRPr="00420C3C">
                                            <w:rPr>
                                              <w:rFonts w:ascii="Arial" w:eastAsia="Times New Roman" w:hAnsi="Arial" w:cs="Arial"/>
                                              <w:color w:val="000000"/>
                                              <w:sz w:val="20"/>
                                              <w:szCs w:val="20"/>
                                            </w:rPr>
                                            <w:t>Bundesfinanzdirektion</w:t>
                                          </w:r>
                                          <w:r w:rsidRPr="00420C3C">
                                            <w:rPr>
                                              <w:rFonts w:ascii="Arial" w:eastAsia="Times New Roman" w:hAnsi="Arial" w:cs="Arial"/>
                                              <w:color w:val="000000"/>
                                              <w:sz w:val="20"/>
                                            </w:rPr>
                                            <w:t> </w:t>
                                          </w:r>
                                          <w:r w:rsidRPr="00420C3C">
                                            <w:rPr>
                                              <w:rFonts w:ascii="Arial" w:eastAsia="Times New Roman" w:hAnsi="Arial" w:cs="Arial"/>
                                              <w:color w:val="000000"/>
                                              <w:sz w:val="20"/>
                                              <w:szCs w:val="20"/>
                                            </w:rPr>
                                            <w:t>West</w:t>
                                          </w:r>
                                          <w:r w:rsidRPr="00420C3C">
                                            <w:rPr>
                                              <w:rFonts w:ascii="Arial" w:eastAsia="Times New Roman" w:hAnsi="Arial" w:cs="Arial"/>
                                              <w:color w:val="000000"/>
                                              <w:sz w:val="20"/>
                                              <w:szCs w:val="20"/>
                                              <w:lang w:val="bg-BG"/>
                                            </w:rPr>
                                            <w:t>), Кьолн.</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На 19 декември 2014 г. митническата администрация на Германия публикува допълнителна информация по процедурите за прилагането на минималната заплата на немски език (</w:t>
                                          </w:r>
                                          <w:hyperlink r:id="rId5" w:history="1">
                                            <w:r w:rsidRPr="00420C3C">
                                              <w:rPr>
                                                <w:rFonts w:ascii="Arial" w:eastAsia="Times New Roman" w:hAnsi="Arial" w:cs="Arial"/>
                                                <w:color w:val="0000FF"/>
                                                <w:sz w:val="20"/>
                                                <w:u w:val="single"/>
                                              </w:rPr>
                                              <w:t>http</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www</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zoll</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Fachthemen</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Arbeit</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Meldungen</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bei</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Entsendung</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meldungen</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bei</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entsendung</w:t>
                                            </w:r>
                                            <w:r w:rsidRPr="00420C3C">
                                              <w:rPr>
                                                <w:rFonts w:ascii="Arial" w:eastAsia="Times New Roman" w:hAnsi="Arial" w:cs="Arial"/>
                                                <w:color w:val="0000FF"/>
                                                <w:sz w:val="20"/>
                                                <w:u w:val="single"/>
                                                <w:lang w:val="bg-BG"/>
                                              </w:rPr>
                                              <w:t>_</w:t>
                                            </w:r>
                                            <w:r w:rsidRPr="00420C3C">
                                              <w:rPr>
                                                <w:rFonts w:ascii="Arial" w:eastAsia="Times New Roman" w:hAnsi="Arial" w:cs="Arial"/>
                                                <w:color w:val="0000FF"/>
                                                <w:sz w:val="20"/>
                                                <w:u w:val="single"/>
                                                <w:lang w:val="de-DE"/>
                                              </w:rPr>
                                              <w:t>node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lang w:val="de-DE"/>
                                              </w:rPr>
                                              <w:t>html</w:t>
                                            </w:r>
                                          </w:hyperlink>
                                          <w:r w:rsidRPr="00420C3C">
                                            <w:rPr>
                                              <w:rFonts w:ascii="Arial" w:eastAsia="Times New Roman" w:hAnsi="Arial" w:cs="Arial"/>
                                              <w:color w:val="000000"/>
                                              <w:sz w:val="20"/>
                                              <w:szCs w:val="20"/>
                                              <w:lang w:val="bg-BG"/>
                                            </w:rPr>
                                            <w:t>). Формулярът на план-график на работата при извършване на мобилни дейности може да бъде намерен в дясното меню на екрана в рубриката "</w:t>
                                          </w:r>
                                          <w:r w:rsidRPr="00420C3C">
                                            <w:rPr>
                                              <w:rFonts w:ascii="Arial" w:eastAsia="Times New Roman" w:hAnsi="Arial" w:cs="Arial"/>
                                              <w:color w:val="000000"/>
                                              <w:sz w:val="20"/>
                                              <w:szCs w:val="20"/>
                                            </w:rPr>
                                            <w:t>Formulare</w:t>
                                          </w:r>
                                          <w:r w:rsidRPr="00420C3C">
                                            <w:rPr>
                                              <w:rFonts w:ascii="Arial" w:eastAsia="Times New Roman" w:hAnsi="Arial" w:cs="Arial"/>
                                              <w:color w:val="000000"/>
                                              <w:sz w:val="20"/>
                                            </w:rPr>
                                            <w:t> </w:t>
                                          </w:r>
                                          <w:r w:rsidRPr="00420C3C">
                                            <w:rPr>
                                              <w:rFonts w:ascii="Arial" w:eastAsia="Times New Roman" w:hAnsi="Arial" w:cs="Arial"/>
                                              <w:color w:val="000000"/>
                                              <w:sz w:val="20"/>
                                              <w:szCs w:val="20"/>
                                            </w:rPr>
                                            <w:t>zum</w:t>
                                          </w:r>
                                          <w:r w:rsidRPr="00420C3C">
                                            <w:rPr>
                                              <w:rFonts w:ascii="Arial" w:eastAsia="Times New Roman" w:hAnsi="Arial" w:cs="Arial"/>
                                              <w:color w:val="000000"/>
                                              <w:sz w:val="20"/>
                                            </w:rPr>
                                            <w:t> </w:t>
                                          </w:r>
                                          <w:r w:rsidRPr="00420C3C">
                                            <w:rPr>
                                              <w:rFonts w:ascii="Arial" w:eastAsia="Times New Roman" w:hAnsi="Arial" w:cs="Arial"/>
                                              <w:color w:val="000000"/>
                                              <w:sz w:val="20"/>
                                              <w:szCs w:val="20"/>
                                            </w:rPr>
                                            <w:t>Thema</w:t>
                                          </w:r>
                                          <w:r w:rsidRPr="00420C3C">
                                            <w:rPr>
                                              <w:rFonts w:ascii="Arial" w:eastAsia="Times New Roman" w:hAnsi="Arial" w:cs="Arial"/>
                                              <w:color w:val="000000"/>
                                              <w:sz w:val="20"/>
                                              <w:szCs w:val="20"/>
                                              <w:lang w:val="bg-BG"/>
                                            </w:rPr>
                                            <w:t>" под номер "</w:t>
                                          </w:r>
                                          <w:r w:rsidRPr="00420C3C">
                                            <w:rPr>
                                              <w:rFonts w:ascii="Arial" w:eastAsia="Times New Roman" w:hAnsi="Arial" w:cs="Arial"/>
                                              <w:b/>
                                              <w:bCs/>
                                              <w:color w:val="000000"/>
                                              <w:sz w:val="20"/>
                                              <w:szCs w:val="20"/>
                                              <w:lang w:val="bg-BG"/>
                                            </w:rPr>
                                            <w:t>033037 (</w:t>
                                          </w:r>
                                          <w:r w:rsidRPr="00420C3C">
                                            <w:rPr>
                                              <w:rFonts w:ascii="Arial" w:eastAsia="Times New Roman" w:hAnsi="Arial" w:cs="Arial"/>
                                              <w:b/>
                                              <w:bCs/>
                                              <w:color w:val="000000"/>
                                              <w:sz w:val="20"/>
                                              <w:szCs w:val="20"/>
                                            </w:rPr>
                                            <w:t>mobil</w:t>
                                          </w:r>
                                          <w:r w:rsidRPr="00420C3C">
                                            <w:rPr>
                                              <w:rFonts w:ascii="Arial" w:eastAsia="Times New Roman" w:hAnsi="Arial" w:cs="Arial"/>
                                              <w:color w:val="000000"/>
                                              <w:sz w:val="20"/>
                                              <w:szCs w:val="20"/>
                                              <w:lang w:val="bg-BG"/>
                                            </w:rPr>
                                            <w:t>)". Той е в интерактивен</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rPr>
                                            <w:t>pdf</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lang w:val="bg-BG"/>
                                            </w:rPr>
                                            <w:t>формат и може да се попълва директно онлайн. След това се разпечатва и се изпраща на факс:</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+49 (0) 221 964 870</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lang w:val="bg-BG"/>
                                            </w:rPr>
                                            <w:t>в</w:t>
                                          </w:r>
                                          <w:r w:rsidRPr="00420C3C">
                                            <w:rPr>
                                              <w:rFonts w:ascii="Arial" w:eastAsia="Times New Roman" w:hAnsi="Arial" w:cs="Arial"/>
                                              <w:color w:val="000000"/>
                                              <w:sz w:val="20"/>
                                              <w:lang w:val="bg-BG"/>
                                            </w:rPr>
                                            <w:t> </w:t>
                                          </w:r>
                                          <w:r w:rsidRPr="00420C3C">
                                            <w:rPr>
                                              <w:rFonts w:ascii="Arial" w:eastAsia="Times New Roman" w:hAnsi="Arial" w:cs="Arial"/>
                                              <w:color w:val="000000"/>
                                              <w:sz w:val="20"/>
                                              <w:szCs w:val="20"/>
                                            </w:rPr>
                                            <w:t>Bundesfinanzdirektion</w:t>
                                          </w:r>
                                          <w:r w:rsidRPr="00420C3C">
                                            <w:rPr>
                                              <w:rFonts w:ascii="Arial" w:eastAsia="Times New Roman" w:hAnsi="Arial" w:cs="Arial"/>
                                              <w:color w:val="000000"/>
                                              <w:sz w:val="20"/>
                                            </w:rPr>
                                            <w:t> </w:t>
                                          </w:r>
                                          <w:r w:rsidRPr="00420C3C">
                                            <w:rPr>
                                              <w:rFonts w:ascii="Arial" w:eastAsia="Times New Roman" w:hAnsi="Arial" w:cs="Arial"/>
                                              <w:color w:val="000000"/>
                                              <w:sz w:val="20"/>
                                              <w:szCs w:val="20"/>
                                            </w:rPr>
                                            <w:t>West</w:t>
                                          </w:r>
                                          <w:r w:rsidRPr="00420C3C">
                                            <w:rPr>
                                              <w:rFonts w:ascii="Arial" w:eastAsia="Times New Roman" w:hAnsi="Arial" w:cs="Arial"/>
                                              <w:color w:val="000000"/>
                                              <w:sz w:val="20"/>
                                              <w:szCs w:val="20"/>
                                              <w:lang w:val="bg-BG"/>
                                            </w:rPr>
                                            <w:t>, Кьолн.</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 xml:space="preserve">Моля, обърнете внимание, че формулярът се състои от 2 страници и всички полета </w:t>
                                          </w:r>
                                          <w:r w:rsidRPr="00420C3C">
                                            <w:rPr>
                                              <w:rFonts w:ascii="Arial" w:eastAsia="Times New Roman" w:hAnsi="Arial" w:cs="Arial"/>
                                              <w:b/>
                                              <w:bCs/>
                                              <w:color w:val="000000"/>
                                              <w:sz w:val="20"/>
                                              <w:szCs w:val="20"/>
                                              <w:lang w:val="bg-BG"/>
                                            </w:rPr>
                                            <w:lastRenderedPageBreak/>
                                            <w:t>трябва да бъдат попълнени на немски език!!!</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Счита се, че задължението за деклариране на минималната заплата е изпълнено с изпращането на формуляра. Митническата служба няма да изпраща потвърждения за получаването на формулярите. Като доказателство за навременно изпращане на формуляра трябва да се съхранява протоколът за изпратените съобщения от факс-апарата.</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Неизпращане на формуляра или несвоевременното му изпращане, или изпращане на формуляр с неверни или непълни данни се счита за нарушение, което се санкционира с глоба до 30 000 евро.</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3. Задължение за водене на записи на работното време</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Съгласно параграф 17 на закона работодателят е длъжен да записва началото, края и продължителността на дневното работното време на своите работници най-късно до края на седмия календарен ден след деня, в който е извършена работата, и да съхранява тези записи най-малко 2 години. </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С Наредбата за отчитане на минималната работна заплата (</w:t>
                                          </w:r>
                                          <w:r w:rsidRPr="00420C3C">
                                            <w:rPr>
                                              <w:rFonts w:ascii="Arial" w:eastAsia="Times New Roman" w:hAnsi="Arial" w:cs="Arial"/>
                                              <w:color w:val="000000"/>
                                              <w:sz w:val="20"/>
                                              <w:szCs w:val="20"/>
                                            </w:rPr>
                                            <w:t>MiLoAufzV</w:t>
                                          </w:r>
                                          <w:r w:rsidRPr="00420C3C">
                                            <w:rPr>
                                              <w:rFonts w:ascii="Arial" w:eastAsia="Times New Roman" w:hAnsi="Arial" w:cs="Arial"/>
                                              <w:color w:val="000000"/>
                                              <w:sz w:val="20"/>
                                              <w:szCs w:val="20"/>
                                              <w:lang w:val="bg-BG"/>
                                            </w:rPr>
                                            <w:t>) се въвежда облекчение за някои категории работници (разносвачи на вестници, куриерски услуги) като отпада задължението за записване на началото и края на дневното работно време, т. е. те трябва да записват само неговата продължителност. Това облекчение обаче няма да важи в общия случай за шофьорите в превозите на пътници и товари, тъй като се счита, че те не отговарят на всички условия - да извършват само мобилни дейности, да не подлежат на предварително определено работно време (начало и край) и сами на своя отговорност да разпределят работното си време.</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w:t>
                                          </w:r>
                                          <w:r w:rsidRPr="00420C3C">
                                            <w:rPr>
                                              <w:rFonts w:ascii="Arial" w:eastAsia="Times New Roman" w:hAnsi="Arial" w:cs="Arial"/>
                                              <w:color w:val="000000"/>
                                              <w:sz w:val="20"/>
                                              <w:lang w:val="bg-BG"/>
                                            </w:rPr>
                                            <w:t> </w:t>
                                          </w:r>
                                          <w:r w:rsidRPr="00420C3C">
                                            <w:rPr>
                                              <w:rFonts w:ascii="Arial" w:eastAsia="Times New Roman" w:hAnsi="Arial" w:cs="Arial"/>
                                              <w:b/>
                                              <w:bCs/>
                                              <w:color w:val="000000"/>
                                              <w:sz w:val="20"/>
                                              <w:szCs w:val="20"/>
                                              <w:lang w:val="bg-BG"/>
                                            </w:rPr>
                                            <w:t>4. Полезни контакти</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Създадени са информационни центрове, които да отговарят на различни въпроси по темата както към немското Министерство на труда и социалните въпроси (</w:t>
                                          </w:r>
                                          <w:hyperlink r:id="rId6" w:history="1">
                                            <w:r w:rsidRPr="00420C3C">
                                              <w:rPr>
                                                <w:rFonts w:ascii="Arial" w:eastAsia="Times New Roman" w:hAnsi="Arial" w:cs="Arial"/>
                                                <w:color w:val="0000FF"/>
                                                <w:sz w:val="20"/>
                                                <w:u w:val="single"/>
                                              </w:rPr>
                                              <w:t>https</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www</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bmas</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Service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Buergertelefon</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inhalt</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html</w:t>
                                            </w:r>
                                          </w:hyperlink>
                                          <w:r w:rsidRPr="00420C3C">
                                            <w:rPr>
                                              <w:rFonts w:ascii="Arial" w:eastAsia="Times New Roman" w:hAnsi="Arial" w:cs="Arial"/>
                                              <w:color w:val="000000"/>
                                              <w:sz w:val="20"/>
                                              <w:szCs w:val="20"/>
                                              <w:lang w:val="bg-BG"/>
                                            </w:rPr>
                                            <w:t>, така и към немските митници (</w:t>
                                          </w:r>
                                          <w:hyperlink r:id="rId7" w:history="1">
                                            <w:r w:rsidRPr="00420C3C">
                                              <w:rPr>
                                                <w:rFonts w:ascii="Arial" w:eastAsia="Times New Roman" w:hAnsi="Arial" w:cs="Arial"/>
                                                <w:color w:val="0000FF"/>
                                                <w:sz w:val="20"/>
                                                <w:u w:val="single"/>
                                              </w:rPr>
                                              <w:t>https</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www</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zoll</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EN</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Service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Enquiries</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enquiries</w:t>
                                            </w:r>
                                            <w:r w:rsidRPr="00420C3C">
                                              <w:rPr>
                                                <w:rFonts w:ascii="Arial" w:eastAsia="Times New Roman" w:hAnsi="Arial" w:cs="Arial"/>
                                                <w:color w:val="0000FF"/>
                                                <w:sz w:val="20"/>
                                                <w:u w:val="single"/>
                                                <w:lang w:val="bg-BG"/>
                                              </w:rPr>
                                              <w:t>_</w:t>
                                            </w:r>
                                            <w:r w:rsidRPr="00420C3C">
                                              <w:rPr>
                                                <w:rFonts w:ascii="Arial" w:eastAsia="Times New Roman" w:hAnsi="Arial" w:cs="Arial"/>
                                                <w:color w:val="0000FF"/>
                                                <w:sz w:val="20"/>
                                                <w:u w:val="single"/>
                                              </w:rPr>
                                              <w:t>node</w:t>
                                            </w:r>
                                            <w:r w:rsidRPr="00420C3C">
                                              <w:rPr>
                                                <w:rFonts w:ascii="Arial" w:eastAsia="Times New Roman" w:hAnsi="Arial" w:cs="Arial"/>
                                                <w:color w:val="0000FF"/>
                                                <w:sz w:val="20"/>
                                                <w:u w:val="single"/>
                                                <w:lang w:val="bg-BG"/>
                                              </w:rPr>
                                              <w:t>.</w:t>
                                            </w:r>
                                            <w:r w:rsidRPr="00420C3C">
                                              <w:rPr>
                                                <w:rFonts w:ascii="Arial" w:eastAsia="Times New Roman" w:hAnsi="Arial" w:cs="Arial"/>
                                                <w:color w:val="0000FF"/>
                                                <w:sz w:val="20"/>
                                                <w:u w:val="single"/>
                                              </w:rPr>
                                              <w:t>html</w:t>
                                            </w:r>
                                          </w:hyperlink>
                                          <w:r w:rsidRPr="00420C3C">
                                            <w:rPr>
                                              <w:rFonts w:ascii="Arial" w:eastAsia="Times New Roman" w:hAnsi="Arial" w:cs="Arial"/>
                                              <w:color w:val="000000"/>
                                              <w:sz w:val="20"/>
                                              <w:szCs w:val="20"/>
                                              <w:lang w:val="bg-BG"/>
                                            </w:rPr>
                                            <w:t>).</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Arial" w:eastAsia="Times New Roman" w:hAnsi="Arial" w:cs="Arial"/>
                                              <w:color w:val="000000"/>
                                              <w:sz w:val="20"/>
                                              <w:szCs w:val="20"/>
                                              <w:lang w:val="bg-BG"/>
                                            </w:rPr>
                                            <w:t>     Горещ телефон за въпроси - Германия: от понеделник до четвъртък от 8:00 до 20:00 ч - +49 (0)30 60280028.</w:t>
                                          </w:r>
                                        </w:p>
                                        <w:p w:rsidR="00420C3C" w:rsidRPr="00420C3C" w:rsidRDefault="00420C3C" w:rsidP="00420C3C">
                                          <w:pPr>
                                            <w:spacing w:before="100" w:beforeAutospacing="1" w:after="100" w:afterAutospacing="1" w:line="163" w:lineRule="atLeast"/>
                                            <w:jc w:val="both"/>
                                            <w:rPr>
                                              <w:rFonts w:ascii="Times New Roman" w:eastAsia="Times New Roman" w:hAnsi="Times New Roman" w:cs="Times New Roman"/>
                                              <w:color w:val="000000"/>
                                              <w:sz w:val="24"/>
                                              <w:szCs w:val="24"/>
                                            </w:rPr>
                                          </w:pPr>
                                          <w:r w:rsidRPr="00420C3C">
                                            <w:rPr>
                                              <w:rFonts w:ascii="Times New Roman" w:eastAsia="Times New Roman" w:hAnsi="Times New Roman" w:cs="Times New Roman"/>
                                              <w:color w:val="000000"/>
                                              <w:sz w:val="20"/>
                                              <w:szCs w:val="20"/>
                                            </w:rPr>
                                            <w:t> </w:t>
                                          </w:r>
                                          <w:r w:rsidRPr="00420C3C">
                                            <w:rPr>
                                              <w:rFonts w:ascii="Calibri" w:eastAsia="Times New Roman" w:hAnsi="Calibri" w:cs="Calibri"/>
                                              <w:color w:val="000000"/>
                                              <w:sz w:val="20"/>
                                              <w:szCs w:val="20"/>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000000"/>
                                              <w:sz w:val="20"/>
                                            </w:rPr>
                                            <w:t>TIR-EPD в Иран, Гърция, Киргизстан и Италия</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Международният съюз за автомобилен транспорт (ИРУ) информира, че:</w:t>
                                          </w:r>
                                          <w:r w:rsidRPr="00420C3C">
                                            <w:rPr>
                                              <w:rFonts w:ascii="Verdana" w:eastAsia="Times New Roman" w:hAnsi="Verdana" w:cs="Times New Roman"/>
                                              <w:color w:val="000000"/>
                                              <w:sz w:val="14"/>
                                              <w:szCs w:val="14"/>
                                            </w:rPr>
                                            <w:br/>
                                            <w:t>1. В Иран</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 15.12.2014 г.</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подаването на предварителна електронна декларация за товарите, посредством безплатния програмен продукт на ИРУ TIR-EPD е</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задължително за всички товари</w:t>
                                          </w:r>
                                          <w:r w:rsidRPr="00420C3C">
                                            <w:rPr>
                                              <w:rFonts w:ascii="Verdana" w:eastAsia="Times New Roman" w:hAnsi="Verdana" w:cs="Times New Roman"/>
                                              <w:color w:val="000000"/>
                                              <w:sz w:val="14"/>
                                              <w:szCs w:val="14"/>
                                            </w:rPr>
                                            <w:t>, които влизат или напускат територията на Иран под покритието на карнети ТИР.</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br/>
                                            <w:t>2. В Гърция след успешното приключване на тестовете по внедряването в информационната си система, гръцката митническа администрация вече прилага TIR-EPD, включително данните за сигурност и безопасност. Имайки предвид, че подаването на предварителна информация за товара е задължително за всички превози, които започват или влизат в Гърция, използването на безплатния продукт на ИРУ TIR-EPD представлява за титулярите на карнети ТИР възможност за спестяване на средства и време.</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 *</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Международният съюз за автомобилен транспорт (ИРУ) съобщава, че считано от 1 декември 2014 г. подаването на предварителна електронна декларация за товарите, превозвани под покритието на карнети ТИР, посредством безплатния програмен продукт на ИРУ TIR-EPD е възможно и в следните държави:</w:t>
                                          </w:r>
                                          <w:r w:rsidRPr="00420C3C">
                                            <w:rPr>
                                              <w:rFonts w:ascii="Verdana" w:eastAsia="Times New Roman" w:hAnsi="Verdana" w:cs="Times New Roman"/>
                                              <w:color w:val="000000"/>
                                              <w:sz w:val="14"/>
                                              <w:szCs w:val="14"/>
                                            </w:rPr>
                                            <w:br/>
                                            <w:t>1. Иран – за товарите, които влизат или напускат територията на страната през двете основни митнически учреждения: Техеран и Базарган. В процес на въвеждане е прилагането на продукта и в други митнически учреждения;</w:t>
                                          </w:r>
                                          <w:r w:rsidRPr="00420C3C">
                                            <w:rPr>
                                              <w:rFonts w:ascii="Verdana" w:eastAsia="Times New Roman" w:hAnsi="Verdana" w:cs="Times New Roman"/>
                                              <w:color w:val="000000"/>
                                              <w:sz w:val="14"/>
                                              <w:szCs w:val="14"/>
                                            </w:rPr>
                                            <w:br/>
                                          </w:r>
                                          <w:r w:rsidRPr="00420C3C">
                                            <w:rPr>
                                              <w:rFonts w:ascii="Verdana" w:eastAsia="Times New Roman" w:hAnsi="Verdana" w:cs="Times New Roman"/>
                                              <w:color w:val="000000"/>
                                              <w:sz w:val="14"/>
                                              <w:szCs w:val="14"/>
                                            </w:rPr>
                                            <w:lastRenderedPageBreak/>
                                            <w:t>2. Киргизстан – за товарите, които влизат или напускат територията на страната през всички митнически учреждения;</w:t>
                                          </w:r>
                                          <w:r w:rsidRPr="00420C3C">
                                            <w:rPr>
                                              <w:rFonts w:ascii="Verdana" w:eastAsia="Times New Roman" w:hAnsi="Verdana" w:cs="Times New Roman"/>
                                              <w:color w:val="000000"/>
                                              <w:sz w:val="14"/>
                                              <w:szCs w:val="14"/>
                                            </w:rPr>
                                            <w:br/>
                                            <w:t>3. Италия - за товарите, които влизат или напускат територията на страната през всички митнически учреждения. В случай че за операцията ТИР е подадена предварителна информация до италианските митнически органи от изпращача или негов агент, повторно изпращане на данните от карнета ТИР посредством TIR-EPD не е необходимо.</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 *</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Напомняме, че предварителна електронна декларация за товарите, превозвани под покритието на карнети ТИР, понастоящем може да се подава чрез TIR-EPD в още 27 страни: Афганистан, Беларус, Белгия, Босна и Херцеговина, България, Германия, Грузия, Естония, Казахстан, Латвия, Литва, Македония, Молдова, Полша, Румъния, Руската федерация, Словакия, Словения, Сърбия, Турция, Украйна, Узбекистан, Унгария, Финландия, Франция, Хърватия и Чехия.</w:t>
                                          </w:r>
                                          <w:r w:rsidRPr="00420C3C">
                                            <w:rPr>
                                              <w:rFonts w:ascii="Verdana" w:eastAsia="Times New Roman" w:hAnsi="Verdana" w:cs="Times New Roman"/>
                                              <w:color w:val="000000"/>
                                              <w:sz w:val="14"/>
                                            </w:rPr>
                                            <w:t> </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000000"/>
                                              <w:sz w:val="20"/>
                                            </w:rPr>
                                            <w:t>Холандия: Няма да се въвеждат глоби за ползване на нормалната седмична почивка в превозното средство</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000000"/>
                                              <w:sz w:val="14"/>
                                              <w:szCs w:val="14"/>
                                            </w:rPr>
                                            <w:t>     По информация на асоциацията на превозвачите TLN холандските компетентни органи са потвърдили, че няма да въвеждат глоби за шофьори, които ползват своята 45-часова седмична почивка в кабината на автомобила. При проверките на пътя в страната ще продължи да се установява дали всички изискващи се почивки са били действително ползвани, а не местоположението на шофьора по време на почивките му. </w:t>
                                          </w:r>
                                          <w:r w:rsidRPr="00420C3C">
                                            <w:rPr>
                                              <w:rFonts w:ascii="Verdana" w:eastAsia="Times New Roman" w:hAnsi="Verdana" w:cs="Times New Roman"/>
                                              <w:color w:val="000000"/>
                                              <w:sz w:val="14"/>
                                              <w:szCs w:val="14"/>
                                            </w:rPr>
                                            <w:br/>
                                          </w:r>
                                          <w:r w:rsidRPr="00420C3C">
                                            <w:rPr>
                                              <w:rFonts w:ascii="Verdana" w:eastAsia="Times New Roman" w:hAnsi="Verdana" w:cs="Times New Roman"/>
                                              <w:sz w:val="14"/>
                                              <w:szCs w:val="1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000000"/>
                                              <w:sz w:val="20"/>
                                            </w:rPr>
                                            <w:t>Белгия: Международния съюз за автомобилен транспорт (ИРУ) е получил следните отговори от белгийското министерство на транспорта за прилагането на практика на забраната за ползване на нормалната седмична почивка в превозните средства:</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1.</w:t>
                                          </w:r>
                                          <w:r w:rsidRPr="00420C3C">
                                            <w:rPr>
                                              <w:rFonts w:ascii="Verdana" w:eastAsia="Times New Roman" w:hAnsi="Verdana" w:cs="Times New Roman"/>
                                              <w:i/>
                                              <w:iCs/>
                                              <w:color w:val="000000"/>
                                              <w:sz w:val="14"/>
                                            </w:rPr>
                                            <w:t> Как точно трябва да се интерпретира разпоредбата: „задължителната нормална седмична почивка на борда на превозното средство в момента на проверката"? Ще се констатира нарушение, когато шофьорът прекарва целия период от 45 часа в кабината, или ще има някаква преценка от контролния орган?</w:t>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Когато при проверка на шофьор, който в момента ползва почивката си в превозното средство, бъде установено, че по данни на тахографа предишната му почивка е била намалена седмична почивка, се счита че шофьорът е в нарушение, тъй като след намалена седмична почивка той трябва да ползва нормална седмична почивка, а нейното ползване не е разрешено на борда на превозното средство.</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2.</w:t>
                                          </w:r>
                                          <w:r w:rsidRPr="00420C3C">
                                            <w:rPr>
                                              <w:rFonts w:ascii="Verdana" w:eastAsia="Times New Roman" w:hAnsi="Verdana" w:cs="Times New Roman"/>
                                              <w:i/>
                                              <w:iCs/>
                                              <w:color w:val="000000"/>
                                              <w:sz w:val="14"/>
                                            </w:rPr>
                                            <w:t> Контролните органи ще оценяват ли нормалните седмични почивки, които са ползвани през 28-дневния контролен период, т.е. извън момента на проверката? Ще бъде ли изисквано доказателство за мястото, където е ползвана нормалната седмична почивка? Ако да, какви – фактури от хотел, декларации от приятели/ от семейството или други? Как контролните органи ще оценяват ситуациите, при които се представи удостоверение от работодателя за седмичната почивка на водача?</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Ползването на нормалната седмична почивка на борда на превозното средство трябва да бъде констатирано от контролните органи. Нарушение може да бъде установено само по време на извършването му („in flagrante delicto”). Впоследствие контролните органи не могат да изискват доказателства, че шофьорът не е ползвал своята нормална седмична почивка на борда на превозното средство след. Удостоверение от работодателя няма да бъде изисквано в рамките на контрола на времето за почивка, ползвано на борда на превозното средство.</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3.</w:t>
                                          </w:r>
                                          <w:r w:rsidRPr="00420C3C">
                                            <w:rPr>
                                              <w:rFonts w:ascii="Verdana" w:eastAsia="Times New Roman" w:hAnsi="Verdana" w:cs="Times New Roman"/>
                                              <w:i/>
                                              <w:iCs/>
                                              <w:color w:val="000000"/>
                                              <w:sz w:val="14"/>
                                            </w:rPr>
                                            <w:t> Как контролните органи ще действат в ситуация, когато има ръчно въведени данни в тахографа?</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Практиките на контролиране няма да се променят по отношение на този въпрос.</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4.</w:t>
                                          </w:r>
                                          <w:r w:rsidRPr="00420C3C">
                                            <w:rPr>
                                              <w:rFonts w:ascii="Verdana" w:eastAsia="Times New Roman" w:hAnsi="Verdana" w:cs="Times New Roman"/>
                                              <w:i/>
                                              <w:iCs/>
                                              <w:color w:val="000000"/>
                                              <w:sz w:val="14"/>
                                            </w:rPr>
                                            <w:t> Безопасността на движението може да бъде изложена на риск, ако за целите на контрола шофьорите бъдат притеснени, докато ползват седмичната си почивка. Как контролните органи ще гарантират, че няма да нарушат при проверката намалената седмична почивка на шофьора?</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szCs w:val="14"/>
                                            </w:rPr>
                                            <w:t>    Съгласно Регламент 561/2006 проверките са задължителни и целят прилагането на регламента. Те са наложени от европейския законодател, който е и автор на регламента, и се считат за необходими за постигане на поставените цели.</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5.</w:t>
                                          </w:r>
                                          <w:r w:rsidRPr="00420C3C">
                                            <w:rPr>
                                              <w:rFonts w:ascii="Verdana" w:eastAsia="Times New Roman" w:hAnsi="Verdana" w:cs="Times New Roman"/>
                                              <w:i/>
                                              <w:iCs/>
                                              <w:color w:val="000000"/>
                                              <w:sz w:val="14"/>
                                            </w:rPr>
                                            <w:t> Сигурността на шофьора и товара също трябва да бъдат взети предвид – има опасност от нападения</w:t>
                                          </w:r>
                                          <w:proofErr w:type="gramStart"/>
                                          <w:r w:rsidRPr="00420C3C">
                                            <w:rPr>
                                              <w:rFonts w:ascii="Verdana" w:eastAsia="Times New Roman" w:hAnsi="Verdana" w:cs="Times New Roman"/>
                                              <w:i/>
                                              <w:iCs/>
                                              <w:color w:val="000000"/>
                                              <w:sz w:val="14"/>
                                            </w:rPr>
                                            <w:t>  или</w:t>
                                          </w:r>
                                          <w:proofErr w:type="gramEnd"/>
                                          <w:r w:rsidRPr="00420C3C">
                                            <w:rPr>
                                              <w:rFonts w:ascii="Verdana" w:eastAsia="Times New Roman" w:hAnsi="Verdana" w:cs="Times New Roman"/>
                                              <w:i/>
                                              <w:iCs/>
                                              <w:color w:val="000000"/>
                                              <w:sz w:val="14"/>
                                            </w:rPr>
                                            <w:t xml:space="preserve"> кражби в неосигурени зони.</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szCs w:val="14"/>
                                            </w:rPr>
                                            <w:t>  Съгласно Регламент 561/2006  „седмична почивка“ означава седмичен период, през който водачът може свободно да разполага със своето време и включва „нормална седмична почивка“ и „намалена седмична почивка“.</w:t>
                                          </w:r>
                                          <w:r w:rsidRPr="00420C3C">
                                            <w:rPr>
                                              <w:rFonts w:ascii="Verdana" w:eastAsia="Times New Roman" w:hAnsi="Verdana" w:cs="Times New Roman"/>
                                              <w:color w:val="000000"/>
                                              <w:sz w:val="14"/>
                                              <w:szCs w:val="14"/>
                                            </w:rPr>
                                            <w:br/>
                                            <w:t>     От това определение произлиза, че ако през определен период от време шофьорът е отговорен за задачи като тази да осигури безопасността на превозното средство и неговия товар,</w:t>
                                          </w:r>
                                          <w:proofErr w:type="gramStart"/>
                                          <w:r w:rsidRPr="00420C3C">
                                            <w:rPr>
                                              <w:rFonts w:ascii="Verdana" w:eastAsia="Times New Roman" w:hAnsi="Verdana" w:cs="Times New Roman"/>
                                              <w:color w:val="000000"/>
                                              <w:sz w:val="14"/>
                                              <w:szCs w:val="14"/>
                                            </w:rPr>
                                            <w:t>  този</w:t>
                                          </w:r>
                                          <w:proofErr w:type="gramEnd"/>
                                          <w:r w:rsidRPr="00420C3C">
                                            <w:rPr>
                                              <w:rFonts w:ascii="Verdana" w:eastAsia="Times New Roman" w:hAnsi="Verdana" w:cs="Times New Roman"/>
                                              <w:color w:val="000000"/>
                                              <w:sz w:val="14"/>
                                              <w:szCs w:val="14"/>
                                            </w:rPr>
                                            <w:t xml:space="preserve"> период не може да бъде счетен като почивка, защото шофьорът не може свободно да разполага със своето време. Този период може да бъде описан като „период на разположение</w:t>
                                          </w:r>
                                          <w:proofErr w:type="gramStart"/>
                                          <w:r w:rsidRPr="00420C3C">
                                            <w:rPr>
                                              <w:rFonts w:ascii="Verdana" w:eastAsia="Times New Roman" w:hAnsi="Verdana" w:cs="Times New Roman"/>
                                              <w:color w:val="000000"/>
                                              <w:sz w:val="14"/>
                                              <w:szCs w:val="14"/>
                                            </w:rPr>
                                            <w:t>“ или</w:t>
                                          </w:r>
                                          <w:proofErr w:type="gramEnd"/>
                                          <w:r w:rsidRPr="00420C3C">
                                            <w:rPr>
                                              <w:rFonts w:ascii="Verdana" w:eastAsia="Times New Roman" w:hAnsi="Verdana" w:cs="Times New Roman"/>
                                              <w:color w:val="000000"/>
                                              <w:sz w:val="14"/>
                                              <w:szCs w:val="14"/>
                                            </w:rPr>
                                            <w:t xml:space="preserve"> дори „на друга работа“.</w:t>
                                          </w:r>
                                          <w:r w:rsidRPr="00420C3C">
                                            <w:rPr>
                                              <w:rFonts w:ascii="Verdana" w:eastAsia="Times New Roman" w:hAnsi="Verdana" w:cs="Times New Roman"/>
                                              <w:color w:val="000000"/>
                                              <w:sz w:val="14"/>
                                              <w:szCs w:val="14"/>
                                            </w:rPr>
                                            <w:br/>
                                            <w:t>     Естествено човек може да разбере, че предприятията искат да защитят своите шофьори, товари и автомобили по най-добрия начин, на който са способни. Предприятията са свободни да организират превозите така, че разходите да бъдат намалени, доколкото са спазени нормативните изисквания. Превозите може да бъдат организирани така, че да не бъде извършено нарушение. Превозните средства може да бъдат паркирани в сигурни паркинги. Би било полезно да се повиши осведомеността на доставчиците на логистични услуги и мениджърите на инфраструктурата по този въпрос, така че сигурността в паркингите да бъде повишена в бъдеще.</w:t>
                                          </w:r>
                                          <w:r w:rsidRPr="00420C3C">
                                            <w:rPr>
                                              <w:rFonts w:ascii="Verdana" w:eastAsia="Times New Roman" w:hAnsi="Verdana" w:cs="Times New Roman"/>
                                              <w:color w:val="000000"/>
                                              <w:sz w:val="14"/>
                                              <w:szCs w:val="14"/>
                                            </w:rPr>
                                            <w:br/>
                                            <w:t>     За сметка на това не е ясно как ползването на почивката в хотел може да навреди на сигурността на шофьора.</w:t>
                                          </w:r>
                                          <w:r w:rsidRPr="00420C3C">
                                            <w:rPr>
                                              <w:rFonts w:ascii="Verdana" w:eastAsia="Times New Roman" w:hAnsi="Verdana" w:cs="Times New Roman"/>
                                              <w:color w:val="000000"/>
                                              <w:sz w:val="14"/>
                                              <w:szCs w:val="14"/>
                                            </w:rPr>
                                            <w:br/>
                                            <w:t>     Освен това има обучение, занимаващо се специално със защитата на шофьорите и товарите от насилие и кражби</w:t>
                                          </w:r>
                                          <w:proofErr w:type="gramStart"/>
                                          <w:r w:rsidRPr="00420C3C">
                                            <w:rPr>
                                              <w:rFonts w:ascii="Verdana" w:eastAsia="Times New Roman" w:hAnsi="Verdana" w:cs="Times New Roman"/>
                                              <w:color w:val="000000"/>
                                              <w:sz w:val="14"/>
                                              <w:szCs w:val="14"/>
                                            </w:rPr>
                                            <w:t>  в</w:t>
                                          </w:r>
                                          <w:proofErr w:type="gramEnd"/>
                                          <w:r w:rsidRPr="00420C3C">
                                            <w:rPr>
                                              <w:rFonts w:ascii="Verdana" w:eastAsia="Times New Roman" w:hAnsi="Verdana" w:cs="Times New Roman"/>
                                              <w:color w:val="000000"/>
                                              <w:sz w:val="14"/>
                                              <w:szCs w:val="14"/>
                                            </w:rPr>
                                            <w:t xml:space="preserve"> рамките на сертифицирането за професионална компетентност. Трябва също да се напомни, че в тази рамка мисията на публичните власти се простира, преди всичко върху социалната защита на шофьорите и повишаване на безопасността на </w:t>
                                          </w:r>
                                          <w:r w:rsidRPr="00420C3C">
                                            <w:rPr>
                                              <w:rFonts w:ascii="Verdana" w:eastAsia="Times New Roman" w:hAnsi="Verdana" w:cs="Times New Roman"/>
                                              <w:color w:val="000000"/>
                                              <w:sz w:val="14"/>
                                              <w:szCs w:val="14"/>
                                            </w:rPr>
                                            <w:lastRenderedPageBreak/>
                                            <w:t>движението по пътищата за всички участници в него.</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6.</w:t>
                                          </w:r>
                                          <w:r w:rsidRPr="00420C3C">
                                            <w:rPr>
                                              <w:rFonts w:ascii="Verdana" w:eastAsia="Times New Roman" w:hAnsi="Verdana" w:cs="Times New Roman"/>
                                              <w:i/>
                                              <w:iCs/>
                                              <w:color w:val="000000"/>
                                              <w:sz w:val="14"/>
                                            </w:rPr>
                                            <w:t> Пратки, които се превозват на температурен режим – трябва да бъдат предпазени от неразрешено регулиране на температурата. Как контролните органи ще оценят ситуация, при която шофьорът ще трябва да напусне хотела, за да провери ремаркето, това ще бъде ли определено като прекъсване на почивката?</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Фактически този въпрос, както и предишният, не засяга белгийската мярка, а общото прилагане на Регламент 561/2006. Регламентът не предвижда шофьорът да прекъсва почивката си, за да гарантира сигурността на товара. Регламентът определя, че почивка е налице, когато шофьорът свободно разполага със своето време, което не е така, когато той е отговорен да наглежда товара. Би било полезно да се повиши осведомеността на доставчиците на логистични услуги и мениджърите на инфраструктурата по този въпрос, така че сигурността и обслужването в паркингите да бъдат подобрени в бъдеще. (Виж и т. 5)</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7.</w:t>
                                          </w:r>
                                          <w:r w:rsidRPr="00420C3C">
                                            <w:rPr>
                                              <w:rFonts w:ascii="Verdana" w:eastAsia="Times New Roman" w:hAnsi="Verdana" w:cs="Times New Roman"/>
                                              <w:i/>
                                              <w:iCs/>
                                              <w:color w:val="000000"/>
                                              <w:sz w:val="14"/>
                                            </w:rPr>
                                            <w:t> Ако в повечето случаи чуждестранни автомобили ще бъдат обект на тези проверки,</w:t>
                                          </w:r>
                                          <w:proofErr w:type="gramStart"/>
                                          <w:r w:rsidRPr="00420C3C">
                                            <w:rPr>
                                              <w:rFonts w:ascii="Verdana" w:eastAsia="Times New Roman" w:hAnsi="Verdana" w:cs="Times New Roman"/>
                                              <w:i/>
                                              <w:iCs/>
                                              <w:color w:val="000000"/>
                                              <w:sz w:val="14"/>
                                            </w:rPr>
                                            <w:t>  има</w:t>
                                          </w:r>
                                          <w:proofErr w:type="gramEnd"/>
                                          <w:r w:rsidRPr="00420C3C">
                                            <w:rPr>
                                              <w:rFonts w:ascii="Verdana" w:eastAsia="Times New Roman" w:hAnsi="Verdana" w:cs="Times New Roman"/>
                                              <w:i/>
                                              <w:iCs/>
                                              <w:color w:val="000000"/>
                                              <w:sz w:val="14"/>
                                            </w:rPr>
                                            <w:t xml:space="preserve"> опасност от дискриминация. Как ще бъдат проверявани или избирани превозните средства?</w:t>
                                          </w:r>
                                          <w:r w:rsidRPr="00420C3C">
                                            <w:rPr>
                                              <w:rFonts w:ascii="Verdana" w:eastAsia="Times New Roman" w:hAnsi="Verdana" w:cs="Times New Roman"/>
                                              <w:i/>
                                              <w:iCs/>
                                              <w:color w:val="000000"/>
                                              <w:sz w:val="14"/>
                                              <w:szCs w:val="14"/>
                                            </w:rPr>
                                            <w:br/>
                                          </w:r>
                                          <w:r w:rsidRPr="00420C3C">
                                            <w:rPr>
                                              <w:rFonts w:ascii="Verdana" w:eastAsia="Times New Roman" w:hAnsi="Verdana" w:cs="Times New Roman"/>
                                              <w:color w:val="000000"/>
                                              <w:sz w:val="14"/>
                                              <w:szCs w:val="14"/>
                                            </w:rPr>
                                            <w:t>    </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Отговор:</w:t>
                                          </w:r>
                                          <w:r w:rsidRPr="00420C3C">
                                            <w:rPr>
                                              <w:rFonts w:ascii="Verdana" w:eastAsia="Times New Roman" w:hAnsi="Verdana" w:cs="Times New Roman"/>
                                              <w:color w:val="000000"/>
                                              <w:sz w:val="14"/>
                                              <w:szCs w:val="14"/>
                                            </w:rPr>
                                            <w:t>  Мярката се прилага за всички шофьори, ползващи нормална седмична почивка на белгийска територия. Затова няма абсолютно никаква дискриминация, основана на националността на шофьора или предприятието.</w:t>
                                          </w:r>
                                          <w:r w:rsidRPr="00420C3C">
                                            <w:rPr>
                                              <w:rFonts w:ascii="Verdana" w:eastAsia="Times New Roman" w:hAnsi="Verdana" w:cs="Times New Roman"/>
                                              <w:color w:val="000000"/>
                                              <w:sz w:val="14"/>
                                              <w:szCs w:val="14"/>
                                            </w:rPr>
                                            <w:br/>
                                            <w:t>Проверките на пътя не са насочени въз основа на регистрационните номера, а на категориите превози в зависимост от присъщото им ниво на риска.</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r w:rsidRPr="00420C3C">
                                            <w:rPr>
                                              <w:rFonts w:ascii="Times New Roman" w:eastAsia="Times New Roman" w:hAnsi="Times New Roman" w:cs="Times New Roman"/>
                                              <w:color w:val="000000"/>
                                              <w:sz w:val="24"/>
                                              <w:szCs w:val="24"/>
                                            </w:rPr>
                                            <w:t> </w:t>
                                          </w: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color w:val="800000"/>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color w:val="800000"/>
                                              <w:sz w:val="24"/>
                                              <w:szCs w:val="24"/>
                                            </w:rPr>
                                            <w:t> </w:t>
                                          </w:r>
                                          <w:r w:rsidRPr="00420C3C">
                                            <w:rPr>
                                              <w:rFonts w:ascii="Times New Roman" w:eastAsia="Times New Roman" w:hAnsi="Times New Roman" w:cs="Times New Roman"/>
                                              <w:b/>
                                              <w:bCs/>
                                              <w:color w:val="800000"/>
                                              <w:sz w:val="20"/>
                                            </w:rPr>
                                            <w:t>Допълнителната информация във връзка със забраната за ползване на  нормалната седмична почивка в автомобила:</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hyperlink r:id="rId8" w:history="1">
                                            <w:r w:rsidRPr="00420C3C">
                                              <w:rPr>
                                                <w:rFonts w:ascii="Times New Roman" w:eastAsia="Times New Roman" w:hAnsi="Times New Roman" w:cs="Times New Roman"/>
                                                <w:color w:val="393939"/>
                                                <w:sz w:val="24"/>
                                                <w:szCs w:val="24"/>
                                                <w:u w:val="single"/>
                                              </w:rPr>
                                              <w:t>1. Информация, предоставена от френската асоциация на превозвачите FNTR, резюмираща основните елементи на новия закон във Франция, насочен срещу "социалния дъмпинг и нелоялната социална конкуренция".</w:t>
                                            </w:r>
                                          </w:hyperlink>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hyperlink r:id="rId9" w:history="1">
                                            <w:r w:rsidRPr="00420C3C">
                                              <w:rPr>
                                                <w:rFonts w:ascii="Times New Roman" w:eastAsia="Times New Roman" w:hAnsi="Times New Roman" w:cs="Times New Roman"/>
                                                <w:color w:val="393939"/>
                                                <w:sz w:val="24"/>
                                                <w:szCs w:val="24"/>
                                                <w:u w:val="single"/>
                                              </w:rPr>
                                              <w:t>2. Писмо на Европейската комисия до Международния съюз за автомобилен транспорт (IRU)</w:t>
                                            </w:r>
                                          </w:hyperlink>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br/>
                                            <w:t> </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sz w:val="20"/>
                                              <w:szCs w:val="20"/>
                                            </w:rPr>
                                            <w:t> </w:t>
                                          </w:r>
                                          <w:r w:rsidRPr="00420C3C">
                                            <w:rPr>
                                              <w:rFonts w:ascii="Verdana" w:eastAsia="Times New Roman" w:hAnsi="Verdana" w:cs="Times New Roman"/>
                                              <w:b/>
                                              <w:bCs/>
                                              <w:color w:val="800000"/>
                                              <w:sz w:val="20"/>
                                            </w:rPr>
                                            <w:t>Франция санкционира ползването на нормалните седмични почивки на борда на ПС</w:t>
                                          </w:r>
                                        </w:p>
                                        <w:p w:rsidR="00420C3C" w:rsidRPr="00420C3C" w:rsidRDefault="00420C3C" w:rsidP="00420C3C">
                                          <w:pPr>
                                            <w:spacing w:before="100" w:beforeAutospacing="1" w:after="100" w:afterAutospacing="1" w:line="163" w:lineRule="atLeast"/>
                                            <w:rPr>
                                              <w:rFonts w:ascii="Verdana" w:eastAsia="Times New Roman" w:hAnsi="Verdana" w:cs="Times New Roman"/>
                                              <w:color w:val="800000"/>
                                              <w:sz w:val="14"/>
                                              <w:szCs w:val="14"/>
                                            </w:rPr>
                                          </w:pPr>
                                          <w:r w:rsidRPr="00420C3C">
                                            <w:rPr>
                                              <w:rFonts w:ascii="Verdana" w:eastAsia="Times New Roman" w:hAnsi="Verdana" w:cs="Times New Roman"/>
                                              <w:color w:val="800000"/>
                                              <w:sz w:val="14"/>
                                              <w:szCs w:val="14"/>
                                            </w:rPr>
                                            <w:t>    </w:t>
                                          </w:r>
                                          <w:r w:rsidRPr="00420C3C">
                                            <w:rPr>
                                              <w:rFonts w:ascii="Verdana" w:eastAsia="Times New Roman" w:hAnsi="Verdana" w:cs="Times New Roman"/>
                                              <w:color w:val="800000"/>
                                              <w:sz w:val="14"/>
                                            </w:rPr>
                                            <w:t> </w:t>
                                          </w:r>
                                          <w:r w:rsidRPr="00420C3C">
                                            <w:rPr>
                                              <w:rFonts w:ascii="Verdana" w:eastAsia="Times New Roman" w:hAnsi="Verdana" w:cs="Times New Roman"/>
                                              <w:color w:val="000000"/>
                                              <w:sz w:val="14"/>
                                              <w:szCs w:val="14"/>
                                            </w:rPr>
                                            <w:t>На 11 юли 2014 г. във Франция е обнародван</w:t>
                                          </w:r>
                                          <w:r w:rsidRPr="00420C3C">
                                            <w:rPr>
                                              <w:rFonts w:ascii="Verdana" w:eastAsia="Times New Roman" w:hAnsi="Verdana" w:cs="Times New Roman"/>
                                              <w:color w:val="000000"/>
                                              <w:sz w:val="14"/>
                                            </w:rPr>
                                            <w:t> </w:t>
                                          </w:r>
                                          <w:hyperlink r:id="rId10" w:tgtFrame="blank" w:history="1">
                                            <w:r w:rsidRPr="00420C3C">
                                              <w:rPr>
                                                <w:rFonts w:ascii="Verdana" w:eastAsia="Times New Roman" w:hAnsi="Verdana" w:cs="Times New Roman"/>
                                                <w:color w:val="000000"/>
                                                <w:sz w:val="14"/>
                                                <w:u w:val="single"/>
                                              </w:rPr>
                                              <w:t>закон</w:t>
                                            </w:r>
                                          </w:hyperlink>
                                          <w:r w:rsidRPr="00420C3C">
                                            <w:rPr>
                                              <w:rFonts w:ascii="Verdana" w:eastAsia="Times New Roman" w:hAnsi="Verdana" w:cs="Times New Roman"/>
                                              <w:color w:val="000000"/>
                                              <w:sz w:val="14"/>
                                              <w:szCs w:val="14"/>
                                            </w:rPr>
                                            <w:t>, съгласно който превозвач, който не създаде условия шофьорите му да ползват нормалните седмични почивки извън кабината на автомобила, се санкционира с една година затвор и глоба в размер на 30 000 евро. Законът е влязъл в сила на 12 юли 2014 г. До момента няма допълнителна информация как ще се извършва контролът и как ще се прилагат санкциите.</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b/>
                                              <w:bCs/>
                                              <w:color w:val="800000"/>
                                              <w:sz w:val="14"/>
                                            </w:rPr>
                                            <w:t>ПРЕДУПРЕЖДЕНИЕ КЪМ БЪЛГАРСКИ ГРАЖДАНИ И АВТОМОБИЛИ ДА НЕ ПРЕДПРИЕМАТ ПЪТУВАНИЯ ДО ИРАК</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    </w:t>
                                          </w:r>
                                          <w:r w:rsidRPr="00420C3C">
                                            <w:rPr>
                                              <w:rFonts w:ascii="Verdana" w:eastAsia="Times New Roman" w:hAnsi="Verdana" w:cs="Times New Roman"/>
                                              <w:sz w:val="14"/>
                                            </w:rPr>
                                            <w:t> </w:t>
                                          </w:r>
                                          <w:r w:rsidRPr="00420C3C">
                                            <w:rPr>
                                              <w:rFonts w:ascii="Verdana" w:eastAsia="Times New Roman" w:hAnsi="Verdana" w:cs="Times New Roman"/>
                                              <w:b/>
                                              <w:bCs/>
                                              <w:sz w:val="14"/>
                                            </w:rPr>
                                            <w:t>Във връзка с усложнената обстановка в Ирак, в това число и Иракски Кюрдистан, по границата с Турция, Асоциацията на българските предприятия за международни превози и пътищата ПРЕДУПРЕЖДАВА пътуващите български граждани и автомобили ДА НЕ ПЪТУВАТ за Ирак до нормализиране на ситуацията.</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sz w:val="14"/>
                                              <w:szCs w:val="14"/>
                                            </w:rPr>
                                            <w:t> </w:t>
                                          </w:r>
                                          <w:r w:rsidRPr="00420C3C">
                                            <w:rPr>
                                              <w:rFonts w:ascii="Verdana" w:eastAsia="Times New Roman" w:hAnsi="Verdana" w:cs="Times New Roman"/>
                                              <w:b/>
                                              <w:bCs/>
                                              <w:color w:val="800000"/>
                                              <w:sz w:val="14"/>
                                            </w:rPr>
                                            <w:t>ВАЖНО!</w:t>
                                          </w:r>
                                          <w:r w:rsidRPr="00420C3C">
                                            <w:rPr>
                                              <w:rFonts w:ascii="Verdana" w:eastAsia="Times New Roman" w:hAnsi="Verdana" w:cs="Times New Roman"/>
                                              <w:sz w:val="14"/>
                                              <w:szCs w:val="14"/>
                                            </w:rPr>
                                            <w:t> </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     Международният съюз за автомобилен транспорт (ИРУ) информира, че Споразумението между Федералната митническа служба на Русия и руската гарантираща режима ТИР асоциация АСМАП се удължава до 30-и ноември 2014 г.</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b/>
                                              <w:bCs/>
                                              <w:color w:val="800000"/>
                                              <w:sz w:val="20"/>
                                            </w:rPr>
                                            <w:t>Мерки срещу ползването на нормалната седмична почивка</w:t>
                                          </w:r>
                                          <w:r w:rsidRPr="00420C3C">
                                            <w:rPr>
                                              <w:rFonts w:ascii="Verdana" w:eastAsia="Times New Roman" w:hAnsi="Verdana" w:cs="Times New Roman"/>
                                              <w:b/>
                                              <w:bCs/>
                                              <w:color w:val="800000"/>
                                              <w:sz w:val="20"/>
                                              <w:szCs w:val="20"/>
                                            </w:rPr>
                                            <w:br/>
                                          </w:r>
                                          <w:r w:rsidRPr="00420C3C">
                                            <w:rPr>
                                              <w:rFonts w:ascii="Verdana" w:eastAsia="Times New Roman" w:hAnsi="Verdana" w:cs="Times New Roman"/>
                                              <w:b/>
                                              <w:bCs/>
                                              <w:color w:val="800000"/>
                                              <w:sz w:val="20"/>
                                            </w:rPr>
                                            <w:t>в превозното средство</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b/>
                                              <w:bCs/>
                                              <w:sz w:val="14"/>
                                            </w:rPr>
                                            <w:t>     Както вече съобщихме, с Кралски указ от 19 юни 2014 г. Белгия въведе глоба от 1800 евро, ако водач ползва нормалната си седмична почивка в автомобила. На 6 май 2014 г. френският сенат одобри законопроект № 397 от 2013 г., в който се предвижда въвеждането на такава забрана и във Франция със заложена глоба при нарушение до 30 000 евро и 1 година лишаване от свобода.</w:t>
                                          </w:r>
                                          <w:r w:rsidRPr="00420C3C">
                                            <w:rPr>
                                              <w:rFonts w:ascii="Verdana" w:eastAsia="Times New Roman" w:hAnsi="Verdana" w:cs="Times New Roman"/>
                                              <w:b/>
                                              <w:bCs/>
                                              <w:sz w:val="14"/>
                                              <w:szCs w:val="14"/>
                                            </w:rPr>
                                            <w:br/>
                                          </w:r>
                                          <w:r w:rsidRPr="00420C3C">
                                            <w:rPr>
                                              <w:rFonts w:ascii="Verdana" w:eastAsia="Times New Roman" w:hAnsi="Verdana" w:cs="Times New Roman"/>
                                              <w:sz w:val="14"/>
                                              <w:szCs w:val="14"/>
                                            </w:rPr>
                                            <w:lastRenderedPageBreak/>
                                            <w:t>     АЕБТРИ полага усилия както да следи развитието на случая, така и да защити интересите на българските международни превозвачи. На 02.06.2014 г. асоциацията изпрати писмо до ИА "Автомобилна администрация", с което обърна внимание на българските компетентни органи към проблема, който засяга всички български транспортни фирми, извършващи международни превози на територията на ЕС, и помоли за тяхната намеса за защита на интересите на превозвачите.  АЕБТРИ представи становището си срещу тези мерки и негативните последици от тях за сектора в рамките на Конференцията на Euro Contrôle Route (ECR), проведена в София на 18 юни 2014 г. Представител на АЕБТРИ постави въпроса и на заседанието на Комитета за социален диалог в сектор автомобилен транспорт на ЕС, състояло се в Брюксел на на 4 юли  2014  г. с искане за получаване на конкретна информация за извършването на контрола на забраната, която вече е в сила в Белгия - дали се контролира само в момента на проверката или за предходните 28 дни, какво доказателство трябва да се представя, има ли достатъчно и кои са подходящите паркинги в засегнатите страни и т.н. На 7 юли АЕБТРИ изпрати</w:t>
                                          </w:r>
                                          <w:r w:rsidRPr="00420C3C">
                                            <w:rPr>
                                              <w:rFonts w:ascii="Verdana" w:eastAsia="Times New Roman" w:hAnsi="Verdana" w:cs="Times New Roman"/>
                                              <w:sz w:val="14"/>
                                            </w:rPr>
                                            <w:t> </w:t>
                                          </w:r>
                                          <w:hyperlink r:id="rId11" w:tgtFrame="blank" w:history="1">
                                            <w:r w:rsidRPr="00420C3C">
                                              <w:rPr>
                                                <w:rFonts w:ascii="Verdana" w:eastAsia="Times New Roman" w:hAnsi="Verdana" w:cs="Times New Roman"/>
                                                <w:color w:val="393939"/>
                                                <w:sz w:val="14"/>
                                                <w:u w:val="single"/>
                                              </w:rPr>
                                              <w:t>официално писмо до Сим Калас</w:t>
                                            </w:r>
                                          </w:hyperlink>
                                          <w:r w:rsidRPr="00420C3C">
                                            <w:rPr>
                                              <w:rFonts w:ascii="Verdana" w:eastAsia="Times New Roman" w:hAnsi="Verdana" w:cs="Times New Roman"/>
                                              <w:sz w:val="14"/>
                                              <w:szCs w:val="14"/>
                                            </w:rPr>
                                            <w:t>, зам.-председател и комисар по транспорта на ЕС, изразявайки аргументирано категорично несъгласие с подобно тълкуване и прилагане на регламента и настоявайки за спешни  мерки за  спиране на опитите за разширяване на обхвата на регламента на национално ниво и въвеждане на правила и санкции с пагубни последици за автомобилния транспорт.  </w:t>
                                          </w:r>
                                          <w:r w:rsidRPr="00420C3C">
                                            <w:rPr>
                                              <w:rFonts w:ascii="Verdana" w:eastAsia="Times New Roman" w:hAnsi="Verdana" w:cs="Times New Roman"/>
                                              <w:sz w:val="14"/>
                                              <w:szCs w:val="14"/>
                                            </w:rPr>
                                            <w:br/>
                                            <w:t>    По последни данни френският законопроект, въвеждащ забрана за ползването на нормалната почивка на водачите</w:t>
                                          </w:r>
                                          <w:proofErr w:type="gramStart"/>
                                          <w:r w:rsidRPr="00420C3C">
                                            <w:rPr>
                                              <w:rFonts w:ascii="Verdana" w:eastAsia="Times New Roman" w:hAnsi="Verdana" w:cs="Times New Roman"/>
                                              <w:sz w:val="14"/>
                                              <w:szCs w:val="14"/>
                                            </w:rPr>
                                            <w:t>  в</w:t>
                                          </w:r>
                                          <w:proofErr w:type="gramEnd"/>
                                          <w:r w:rsidRPr="00420C3C">
                                            <w:rPr>
                                              <w:rFonts w:ascii="Verdana" w:eastAsia="Times New Roman" w:hAnsi="Verdana" w:cs="Times New Roman"/>
                                              <w:sz w:val="14"/>
                                              <w:szCs w:val="14"/>
                                            </w:rPr>
                                            <w:t xml:space="preserve"> автомобилите, още не е приет. След приемането му има голяма вероятност законът да бъде предаден на Конституционния съд, което би могло да забави влизането му в сила. Френските контролни органи в автомобилния транспорт не разполагат или разполагат с много ограничена информация относно тази инициатива. Като цяло те възнамеряват да насочат проверките към автотранспортни предприятия, които планират превозите си по начин, при който прекарването на нормалните седмични в кабината на автомобила е неизбежно за водача му. Към този момент е неясно как това би се</w:t>
                                          </w:r>
                                          <w:proofErr w:type="gramStart"/>
                                          <w:r w:rsidRPr="00420C3C">
                                            <w:rPr>
                                              <w:rFonts w:ascii="Verdana" w:eastAsia="Times New Roman" w:hAnsi="Verdana" w:cs="Times New Roman"/>
                                              <w:sz w:val="14"/>
                                              <w:szCs w:val="14"/>
                                            </w:rPr>
                                            <w:t>  прилагало</w:t>
                                          </w:r>
                                          <w:proofErr w:type="gramEnd"/>
                                          <w:r w:rsidRPr="00420C3C">
                                            <w:rPr>
                                              <w:rFonts w:ascii="Verdana" w:eastAsia="Times New Roman" w:hAnsi="Verdana" w:cs="Times New Roman"/>
                                              <w:sz w:val="14"/>
                                              <w:szCs w:val="14"/>
                                            </w:rPr>
                                            <w:t xml:space="preserve"> на практика към чуждестранните превозни средства, извършващи превози на френска територия. Европейската комисия (ЕК) е инициирала процедура срещу Франция по проекта EU Pilot (изискване за предоставяне в съкратени срокове на предварителна информация преди да започне процедура за нарушение съгласно чл. 258 от ДФЕС) във връзка с пропорционалността на предвижданите санкции, като е изискала от френските компетентни органи да представят информация за подготвяните мерки и обосновка на предложените тежки санкции. </w:t>
                                          </w:r>
                                          <w:r w:rsidRPr="00420C3C">
                                            <w:rPr>
                                              <w:rFonts w:ascii="Verdana" w:eastAsia="Times New Roman" w:hAnsi="Verdana" w:cs="Times New Roman"/>
                                              <w:sz w:val="14"/>
                                            </w:rPr>
                                            <w:t> </w:t>
                                          </w:r>
                                          <w:r w:rsidRPr="00420C3C">
                                            <w:rPr>
                                              <w:rFonts w:ascii="Verdana" w:eastAsia="Times New Roman" w:hAnsi="Verdana" w:cs="Times New Roman"/>
                                              <w:sz w:val="14"/>
                                              <w:szCs w:val="14"/>
                                            </w:rPr>
                                            <w:br/>
                                          </w:r>
                                          <w:r w:rsidRPr="00420C3C">
                                            <w:rPr>
                                              <w:rFonts w:ascii="Verdana" w:eastAsia="Times New Roman" w:hAnsi="Verdana" w:cs="Times New Roman"/>
                                              <w:b/>
                                              <w:bCs/>
                                              <w:sz w:val="14"/>
                                            </w:rPr>
                                            <w:t>    </w:t>
                                          </w:r>
                                          <w:r w:rsidRPr="00420C3C">
                                            <w:rPr>
                                              <w:rFonts w:ascii="Verdana" w:eastAsia="Times New Roman" w:hAnsi="Verdana" w:cs="Times New Roman"/>
                                              <w:sz w:val="14"/>
                                              <w:szCs w:val="14"/>
                                            </w:rPr>
                                            <w:t xml:space="preserve">Секретариатът на ИРУ е влязъл във връзка с белгийското министерство на транспорта, откъдето са дали указание по отношение на процедурата по санкциониране на нарушителите. Потвърдено е, че глобата на мястото на откриване на нарушението е 1800 евро. В случай че тя не се заплати незабавно, контролните органи могат да блокират превозното средство, да изискат подлежащ на възстановяване депозит или, ако глобата не бъде заплатена в срок от 96 часа, да конфискуват превозното средство. При това положение може да се заведе съдебно дело, като при решение за виновност глобата може да достигне 60 000 евро.  Освен това на 12 юни 2014 г. Сeкретариатът на ИРУ е изпратил официално искане до Генерална дирекция "Мобилност и транспорт" на ЕК за правно становище по прилагането на чл. 8, т. 8 от Регламент 561/2014 </w:t>
                                          </w:r>
                                          <w:proofErr w:type="gramStart"/>
                                          <w:r w:rsidRPr="00420C3C">
                                            <w:rPr>
                                              <w:rFonts w:ascii="Verdana" w:eastAsia="Times New Roman" w:hAnsi="Verdana" w:cs="Times New Roman"/>
                                              <w:sz w:val="14"/>
                                              <w:szCs w:val="14"/>
                                            </w:rPr>
                                            <w:t>г.:</w:t>
                                          </w:r>
                                          <w:proofErr w:type="gramEnd"/>
                                          <w:r w:rsidRPr="00420C3C">
                                            <w:rPr>
                                              <w:rFonts w:ascii="Verdana" w:eastAsia="Times New Roman" w:hAnsi="Verdana" w:cs="Times New Roman"/>
                                              <w:sz w:val="14"/>
                                              <w:szCs w:val="14"/>
                                            </w:rPr>
                                            <w:t xml:space="preserve"> "По желание на водача дневните почивки и намалените седмични почивки извън базата могат да бъдат ползвани в превозното средство, доколкото то разполага с подходящи условия за спане за всеки водач и превозното средство е неподвижно.", което досега не е получено.</w:t>
                                          </w:r>
                                          <w:r w:rsidRPr="00420C3C">
                                            <w:rPr>
                                              <w:rFonts w:ascii="Verdana" w:eastAsia="Times New Roman" w:hAnsi="Verdana" w:cs="Times New Roman"/>
                                              <w:sz w:val="14"/>
                                              <w:szCs w:val="14"/>
                                            </w:rPr>
                                            <w:br/>
                                            <w:t>     ИА "Автомобилна администрация" е протестирала срещу мерките за забрана за ползване на нормалната седмична почивка на борда на автомобила и е поискала конкретна информация за извършването на контрола в Белгия на заседанието на Комитета по автомобилен транспорт към ЕК, състояло се на 30.06.2014 г. в Брюксел.</w:t>
                                          </w:r>
                                          <w:r w:rsidRPr="00420C3C">
                                            <w:rPr>
                                              <w:rFonts w:ascii="Verdana" w:eastAsia="Times New Roman" w:hAnsi="Verdana" w:cs="Times New Roman"/>
                                              <w:b/>
                                              <w:bCs/>
                                              <w:sz w:val="14"/>
                                            </w:rPr>
                                            <w:t> </w:t>
                                          </w:r>
                                          <w:r w:rsidRPr="00420C3C">
                                            <w:rPr>
                                              <w:rFonts w:ascii="Verdana" w:eastAsia="Times New Roman" w:hAnsi="Verdana" w:cs="Times New Roman"/>
                                              <w:sz w:val="14"/>
                                              <w:szCs w:val="14"/>
                                            </w:rPr>
                                            <w:t>Представителят на белгийските компетентни органи е обяснил, че проверки се извършват само на място в автомобилите по време на ползването на почивките на водачите, а допълнителни документи не се изискват. В последствие тази информация е потвърдена и по имейл. Протоколът от заседанието още не публикуван.</w:t>
                                          </w:r>
                                          <w:r w:rsidRPr="00420C3C">
                                            <w:rPr>
                                              <w:rFonts w:ascii="Verdana" w:eastAsia="Times New Roman" w:hAnsi="Verdana" w:cs="Times New Roman"/>
                                              <w:sz w:val="14"/>
                                              <w:szCs w:val="14"/>
                                            </w:rPr>
                                            <w:br/>
                                            <w:t>АЕБТРИ ще продължава да следи развитието на събитията и своевременно ще уведомява превозвачите за настъпили изменения.</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b/>
                                              <w:bCs/>
                                              <w:sz w:val="14"/>
                                            </w:rPr>
                                            <w:t>Представяне на книгата "Всеки живот си заслужава"</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40250" cy="2512695"/>
                                                <wp:effectExtent l="19050" t="0" r="0" b="0"/>
                                                <wp:docPr id="1" name="Picture 1" descr="http://aebtri.com/Img/v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ebtri.com/Img/vjz.jpg"/>
                                                        <pic:cNvPicPr>
                                                          <a:picLocks noChangeAspect="1" noChangeArrowheads="1"/>
                                                        </pic:cNvPicPr>
                                                      </pic:nvPicPr>
                                                      <pic:blipFill>
                                                        <a:blip r:embed="rId12" cstate="print"/>
                                                        <a:srcRect/>
                                                        <a:stretch>
                                                          <a:fillRect/>
                                                        </a:stretch>
                                                      </pic:blipFill>
                                                      <pic:spPr bwMode="auto">
                                                        <a:xfrm>
                                                          <a:off x="0" y="0"/>
                                                          <a:ext cx="4540250" cy="2512695"/>
                                                        </a:xfrm>
                                                        <a:prstGeom prst="rect">
                                                          <a:avLst/>
                                                        </a:prstGeom>
                                                        <a:noFill/>
                                                        <a:ln w="9525">
                                                          <a:noFill/>
                                                          <a:miter lim="800000"/>
                                                          <a:headEnd/>
                                                          <a:tailEnd/>
                                                        </a:ln>
                                                      </pic:spPr>
                                                    </pic:pic>
                                                  </a:graphicData>
                                                </a:graphic>
                                              </wp:inline>
                                            </w:drawing>
                                          </w: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 xml:space="preserve">     На 22 май 2014 г. от 11 ч в Гранд хотел „София” беше представена книгата „Всеки живот си заслужава” – сборник от </w:t>
                                          </w:r>
                                          <w:r w:rsidRPr="00420C3C">
                                            <w:rPr>
                                              <w:rFonts w:ascii="Verdana" w:eastAsia="Times New Roman" w:hAnsi="Verdana" w:cs="Times New Roman"/>
                                              <w:sz w:val="14"/>
                                              <w:szCs w:val="14"/>
                                            </w:rPr>
                                            <w:lastRenderedPageBreak/>
                                            <w:t>изказвания на специалисти по безопасност на движението по пътищата, артисти, спортисти и певци в предаването „Споделена отговорност” на радио „Фокус”. Съставители са инж. Алекси Кесяков, секретар на Държавно-обществената консултативна комисия по проблемите на безопасността на движението по пътищата (ДОККПБДП) и инж. Койчо Русев, член на УС на АЕБТРИ и председател на Съюза на организациите в автомобилния транспорт и Националната транспорта камара.</w:t>
                                          </w:r>
                                          <w:r w:rsidRPr="00420C3C">
                                            <w:rPr>
                                              <w:rFonts w:ascii="Verdana" w:eastAsia="Times New Roman" w:hAnsi="Verdana" w:cs="Times New Roman"/>
                                              <w:sz w:val="14"/>
                                              <w:szCs w:val="14"/>
                                            </w:rPr>
                                            <w:br/>
                                            <w:t>    Зам.-министър Йордан Грамов прочете поздравителен адрес към съставителите и издателите от зам.-министър-председателя, министър на вътрешните работи и председател на ДОККПБДП Цветлин Йовчев. Приветствие отправи и зам.-министърът на транспорта, информационните технологии и съобщенията Антон Гинев. Владимир Тодоров – председател на Българска асоциация на пострадали при катастрофи, връчи грамоти за изключителен принос към безопасността на движение по пътищата на двамата съставители и издателите – АЕБТРИ и агенция “Фокус”.</w:t>
                                          </w:r>
                                          <w:r w:rsidRPr="00420C3C">
                                            <w:rPr>
                                              <w:rFonts w:ascii="Verdana" w:eastAsia="Times New Roman" w:hAnsi="Verdana" w:cs="Times New Roman"/>
                                              <w:sz w:val="14"/>
                                              <w:szCs w:val="14"/>
                                            </w:rPr>
                                            <w:br/>
                                            <w:t>    Сред присъстващите бяха дългогодишни радетели за подобряване на безопасността на движението: бившият транспортен министър инж. Кирил Ерменков, председателят на “Българския червен кръст” Христо Григоров, Георги Петърнейчев – председател на УС на АЕБТРИ, Алекси Стратиев – експерт по безопасността на движението и бивш началник на отдел „Пътна полиция”, главен комисар Антон Антонов – началник отдел „Пътна полиция”, изпълнителният директор на „Автомобилна администрация” Димитър Ганев, автори на включените в книгата коментари и др.</w:t>
                                          </w:r>
                                          <w:r w:rsidRPr="00420C3C">
                                            <w:rPr>
                                              <w:rFonts w:ascii="Verdana" w:eastAsia="Times New Roman" w:hAnsi="Verdana" w:cs="Times New Roman"/>
                                              <w:sz w:val="14"/>
                                              <w:szCs w:val="14"/>
                                            </w:rPr>
                                            <w:br/>
                                            <w:t> </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Pr>
                                              <w:rFonts w:ascii="Verdana" w:eastAsia="Times New Roman" w:hAnsi="Verdana" w:cs="Times New Roman"/>
                                              <w:noProof/>
                                              <w:sz w:val="14"/>
                                              <w:szCs w:val="14"/>
                                            </w:rPr>
                                            <w:drawing>
                                              <wp:inline distT="0" distB="0" distL="0" distR="0">
                                                <wp:extent cx="3928110" cy="3045460"/>
                                                <wp:effectExtent l="19050" t="0" r="0" b="0"/>
                                                <wp:docPr id="2" name="Picture 2" descr="http://aebtri.com/Img/P101209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ebtri.com/Img/P1012095%20.JPG"/>
                                                        <pic:cNvPicPr>
                                                          <a:picLocks noChangeAspect="1" noChangeArrowheads="1"/>
                                                        </pic:cNvPicPr>
                                                      </pic:nvPicPr>
                                                      <pic:blipFill>
                                                        <a:blip r:embed="rId13" cstate="print"/>
                                                        <a:srcRect/>
                                                        <a:stretch>
                                                          <a:fillRect/>
                                                        </a:stretch>
                                                      </pic:blipFill>
                                                      <pic:spPr bwMode="auto">
                                                        <a:xfrm>
                                                          <a:off x="0" y="0"/>
                                                          <a:ext cx="3928110" cy="3045460"/>
                                                        </a:xfrm>
                                                        <a:prstGeom prst="rect">
                                                          <a:avLst/>
                                                        </a:prstGeom>
                                                        <a:noFill/>
                                                        <a:ln w="9525">
                                                          <a:noFill/>
                                                          <a:miter lim="800000"/>
                                                          <a:headEnd/>
                                                          <a:tailEnd/>
                                                        </a:ln>
                                                      </pic:spPr>
                                                    </pic:pic>
                                                  </a:graphicData>
                                                </a:graphic>
                                              </wp:inline>
                                            </w:drawing>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sz w:val="14"/>
                                              <w:szCs w:val="14"/>
                                            </w:rPr>
                                            <w:t> </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b/>
                                              <w:bCs/>
                                              <w:color w:val="800000"/>
                                              <w:sz w:val="14"/>
                                            </w:rPr>
                                            <w:t>ВАЖНО!</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     От 1.5.2014 г. Международният съюз за автомобилен транспорт (ИРУ) прекратява действието на пилотния проект за 4-листови EU карнети ТИР, които се използваха за двустранни превози от и до Европейския съюз и трети съседни страни.</w:t>
                                          </w:r>
                                          <w:r w:rsidRPr="00420C3C">
                                            <w:rPr>
                                              <w:rFonts w:ascii="Verdana" w:eastAsia="Times New Roman" w:hAnsi="Verdana" w:cs="Times New Roman"/>
                                              <w:sz w:val="14"/>
                                            </w:rPr>
                                            <w:t> </w:t>
                                          </w:r>
                                          <w:r w:rsidRPr="00420C3C">
                                            <w:rPr>
                                              <w:rFonts w:ascii="Verdana" w:eastAsia="Times New Roman" w:hAnsi="Verdana" w:cs="Times New Roman"/>
                                              <w:sz w:val="14"/>
                                              <w:szCs w:val="14"/>
                                            </w:rPr>
                                            <w:br/>
                                            <w:t>     С цел да се стимулира използването на режима ТИР ИРУ намалява цената на обикновените 4-листови карнети ТИР.</w:t>
                                          </w:r>
                                          <w:r w:rsidRPr="00420C3C">
                                            <w:rPr>
                                              <w:rFonts w:ascii="Verdana" w:eastAsia="Times New Roman" w:hAnsi="Verdana" w:cs="Times New Roman"/>
                                              <w:sz w:val="14"/>
                                            </w:rPr>
                                            <w:t> </w:t>
                                          </w:r>
                                          <w:r w:rsidRPr="00420C3C">
                                            <w:rPr>
                                              <w:rFonts w:ascii="Verdana" w:eastAsia="Times New Roman" w:hAnsi="Verdana" w:cs="Times New Roman"/>
                                              <w:sz w:val="14"/>
                                              <w:szCs w:val="14"/>
                                            </w:rPr>
                                            <w:br/>
                                            <w:t>     От 1.5.2014 г. АЕБТРИ ще издава 4-листовите обикновени карнети ТИР на цена от 91 лева. </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 </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sidRPr="00420C3C">
                                            <w:rPr>
                                              <w:rFonts w:ascii="Verdana" w:eastAsia="Times New Roman" w:hAnsi="Verdana" w:cs="Times New Roman"/>
                                              <w:b/>
                                              <w:bCs/>
                                              <w:sz w:val="14"/>
                                            </w:rPr>
                                            <w:t>За фирми, превозващи опасни товари</w:t>
                                          </w:r>
                                        </w:p>
                                        <w:p w:rsidR="00420C3C" w:rsidRPr="00420C3C" w:rsidRDefault="00420C3C" w:rsidP="00420C3C">
                                          <w:pPr>
                                            <w:spacing w:before="100" w:beforeAutospacing="1" w:after="100" w:afterAutospacing="1" w:line="163" w:lineRule="atLeast"/>
                                            <w:rPr>
                                              <w:rFonts w:ascii="Verdana" w:eastAsia="Times New Roman" w:hAnsi="Verdana" w:cs="Times New Roman"/>
                                              <w:sz w:val="14"/>
                                              <w:szCs w:val="14"/>
                                            </w:rPr>
                                          </w:pPr>
                                          <w:r w:rsidRPr="00420C3C">
                                            <w:rPr>
                                              <w:rFonts w:ascii="Verdana" w:eastAsia="Times New Roman" w:hAnsi="Verdana" w:cs="Times New Roman"/>
                                              <w:sz w:val="14"/>
                                              <w:szCs w:val="14"/>
                                            </w:rPr>
                                            <w:t>Моля да участвате в</w:t>
                                          </w:r>
                                          <w:r w:rsidRPr="00420C3C">
                                            <w:rPr>
                                              <w:rFonts w:ascii="Verdana" w:eastAsia="Times New Roman" w:hAnsi="Verdana" w:cs="Times New Roman"/>
                                              <w:sz w:val="14"/>
                                            </w:rPr>
                                            <w:t> </w:t>
                                          </w:r>
                                          <w:hyperlink r:id="rId14" w:tgtFrame="blank" w:history="1">
                                            <w:r w:rsidRPr="00420C3C">
                                              <w:rPr>
                                                <w:rFonts w:ascii="Verdana" w:eastAsia="Times New Roman" w:hAnsi="Verdana" w:cs="Times New Roman"/>
                                                <w:color w:val="393939"/>
                                                <w:sz w:val="14"/>
                                                <w:u w:val="single"/>
                                              </w:rPr>
                                              <w:t>анкета за превозвачите на опасни товари, свързана със системата еCall</w:t>
                                            </w:r>
                                          </w:hyperlink>
                                          <w:r w:rsidRPr="00420C3C">
                                            <w:rPr>
                                              <w:rFonts w:ascii="Verdana" w:eastAsia="Times New Roman" w:hAnsi="Verdana" w:cs="Times New Roman"/>
                                              <w:sz w:val="14"/>
                                              <w:szCs w:val="14"/>
                                            </w:rPr>
                                            <w:t>.</w:t>
                                          </w:r>
                                          <w:r w:rsidRPr="00420C3C">
                                            <w:rPr>
                                              <w:rFonts w:ascii="Verdana" w:eastAsia="Times New Roman" w:hAnsi="Verdana" w:cs="Times New Roman"/>
                                              <w:sz w:val="14"/>
                                            </w:rPr>
                                            <w:t> </w:t>
                                          </w:r>
                                          <w:r w:rsidRPr="00420C3C">
                                            <w:rPr>
                                              <w:rFonts w:ascii="Verdana" w:eastAsia="Times New Roman" w:hAnsi="Verdana" w:cs="Times New Roman"/>
                                              <w:i/>
                                              <w:iCs/>
                                              <w:sz w:val="15"/>
                                            </w:rPr>
                                            <w:t>(</w:t>
                                          </w:r>
                                          <w:proofErr w:type="gramStart"/>
                                          <w:r w:rsidRPr="00420C3C">
                                            <w:rPr>
                                              <w:rFonts w:ascii="Verdana" w:eastAsia="Times New Roman" w:hAnsi="Verdana" w:cs="Times New Roman"/>
                                              <w:i/>
                                              <w:iCs/>
                                              <w:sz w:val="15"/>
                                            </w:rPr>
                                            <w:t>кликнете</w:t>
                                          </w:r>
                                          <w:proofErr w:type="gramEnd"/>
                                          <w:r w:rsidRPr="00420C3C">
                                            <w:rPr>
                                              <w:rFonts w:ascii="Verdana" w:eastAsia="Times New Roman" w:hAnsi="Verdana" w:cs="Times New Roman"/>
                                              <w:i/>
                                              <w:iCs/>
                                              <w:sz w:val="15"/>
                                            </w:rPr>
                                            <w:t xml:space="preserve"> върху подчертания текст).</w:t>
                                          </w:r>
                                          <w:bookmarkStart w:id="0" w:name="risk"/>
                                        </w:p>
                                        <w:bookmarkEnd w:id="0"/>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sz w:val="24"/>
                                              <w:szCs w:val="24"/>
                                            </w:rPr>
                                            <w:t>Федералната митническа служба на Русия</w:t>
                                          </w:r>
                                          <w:r w:rsidRPr="00420C3C">
                                            <w:rPr>
                                              <w:rFonts w:ascii="Times New Roman" w:eastAsia="Times New Roman" w:hAnsi="Times New Roman" w:cs="Times New Roman"/>
                                              <w:b/>
                                              <w:bCs/>
                                              <w:sz w:val="24"/>
                                              <w:szCs w:val="24"/>
                                            </w:rPr>
                                            <w:br/>
                                            <w:t>разширява действието на незаконните ограничения</w:t>
                                          </w:r>
                                          <w:r w:rsidRPr="00420C3C">
                                            <w:rPr>
                                              <w:rFonts w:ascii="Times New Roman" w:eastAsia="Times New Roman" w:hAnsi="Times New Roman" w:cs="Times New Roman"/>
                                              <w:b/>
                                              <w:bCs/>
                                              <w:sz w:val="24"/>
                                              <w:szCs w:val="24"/>
                                            </w:rPr>
                                            <w:br/>
                                            <w:t>за гаранциите ТИР и върху финландско-руската граница</w:t>
                                          </w:r>
                                        </w:p>
                                        <w:p w:rsidR="00420C3C" w:rsidRPr="00420C3C" w:rsidRDefault="00420C3C" w:rsidP="00420C3C">
                                          <w:pPr>
                                            <w:spacing w:before="100" w:beforeAutospacing="1" w:after="100" w:afterAutospacing="1" w:line="163" w:lineRule="atLeast"/>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lastRenderedPageBreak/>
                                            <w:t>  Към 18.03.2014 г. на сайта на Федералната митническа служба на Руската федерация (ФМС на РФ) беше публикувана информация, че от 0.00 ч на 20 март 2014 г. карнетите ТИР вече няма да се приемат от митническа служба на Торфяновка на финландско-руската граница (Северозападното митническо управление). Това означаваше, че превозвачите, които пътуват през този натоварен гранично-пропускателен пункт между Европа и Русия, вече ще бъдат задължени да осигуряват допълнителни национални гаранции.</w:t>
                                          </w:r>
                                          <w:r w:rsidRPr="00420C3C">
                                            <w:rPr>
                                              <w:rFonts w:ascii="Times New Roman" w:eastAsia="Times New Roman" w:hAnsi="Times New Roman" w:cs="Times New Roman"/>
                                              <w:sz w:val="24"/>
                                              <w:szCs w:val="24"/>
                                            </w:rPr>
                                            <w:br/>
                                            <w:t>На 20.03.2014 г. цитираното по-горе съобщение на сайта на ФМС на РФ не беше активно. По съобщение на сайта на финландските митници, публикувано на 19.03.2014 г., митническия пункт Торфяновка ще приема карнети ТИР до 21.04.2014 г</w:t>
                                          </w:r>
                                          <w:proofErr w:type="gramStart"/>
                                          <w:r w:rsidRPr="00420C3C">
                                            <w:rPr>
                                              <w:rFonts w:ascii="Times New Roman" w:eastAsia="Times New Roman" w:hAnsi="Times New Roman" w:cs="Times New Roman"/>
                                              <w:sz w:val="24"/>
                                              <w:szCs w:val="24"/>
                                            </w:rPr>
                                            <w:t>.</w:t>
                                          </w:r>
                                          <w:proofErr w:type="gramEnd"/>
                                          <w:r w:rsidRPr="00420C3C">
                                            <w:rPr>
                                              <w:rFonts w:ascii="Times New Roman" w:eastAsia="Times New Roman" w:hAnsi="Times New Roman" w:cs="Times New Roman"/>
                                              <w:sz w:val="24"/>
                                              <w:szCs w:val="24"/>
                                            </w:rPr>
                                            <w:br/>
                                            <w:t>Напомняме, че ИРУ препоръчва на автотранспортните фирми, пътуващи до, от и транзит през Русия, да използват Препоръките за титулярите на карнети ТИР на ИРУ, публикувани на сайта на АЕБТРИ, в случай че карнетите ТИР неправомерно не се приемат от руските митнически служители.</w:t>
                                          </w:r>
                                          <w:r w:rsidRPr="00420C3C">
                                            <w:rPr>
                                              <w:rFonts w:ascii="Times New Roman" w:eastAsia="Times New Roman" w:hAnsi="Times New Roman" w:cs="Times New Roman"/>
                                              <w:sz w:val="24"/>
                                              <w:szCs w:val="24"/>
                                            </w:rPr>
                                            <w:br/>
                                            <w:t>При всички положения това ново незаконно решение на ФМС на РФ е директно нарушение на Конвенцията ТИР, както и на няколкото съдебни решения на Висшия арбитражен съд на Русия. Освен това то противоречи на отправените през последните няколко месеца от руското правителство инструкции във връзка със системата ТИР и представлява още един тревожен знак за бизнес климата в Русия.</w:t>
                                          </w:r>
                                          <w:r w:rsidRPr="00420C3C">
                                            <w:rPr>
                                              <w:rFonts w:ascii="Times New Roman" w:eastAsia="Times New Roman" w:hAnsi="Times New Roman" w:cs="Times New Roman"/>
                                              <w:sz w:val="24"/>
                                              <w:szCs w:val="24"/>
                                            </w:rPr>
                                            <w:br/>
                                            <w:t>ИРУ в момента провежда обсъждания с различни руски министерства на всички нива за бързо разрешаване на тази ситуация чрез незабавно възстановяване и дългосрочно продължаване на действието на системата ТИР в Русия.</w:t>
                                          </w:r>
                                          <w:r w:rsidRPr="00420C3C">
                                            <w:rPr>
                                              <w:rFonts w:ascii="Times New Roman" w:eastAsia="Times New Roman" w:hAnsi="Times New Roman" w:cs="Times New Roman"/>
                                              <w:sz w:val="24"/>
                                              <w:szCs w:val="24"/>
                                            </w:rPr>
                                            <w:br/>
                                            <w:t>Напомняме, че горещата линия на ИРУ е на Ваше разположение на телефон: + 41 22 918 20 58 и е-mail:</w:t>
                                          </w:r>
                                          <w:hyperlink r:id="rId15" w:history="1">
                                            <w:r w:rsidRPr="00420C3C">
                                              <w:rPr>
                                                <w:rFonts w:ascii="Times New Roman" w:eastAsia="Times New Roman" w:hAnsi="Times New Roman" w:cs="Times New Roman"/>
                                                <w:color w:val="393939"/>
                                                <w:sz w:val="24"/>
                                                <w:szCs w:val="24"/>
                                                <w:u w:val="single"/>
                                              </w:rPr>
                                              <w:t>hotline@iru.org</w:t>
                                            </w:r>
                                          </w:hyperlink>
                                          <w:r w:rsidRPr="00420C3C">
                                            <w:rPr>
                                              <w:rFonts w:ascii="Times New Roman" w:eastAsia="Times New Roman" w:hAnsi="Times New Roman" w:cs="Times New Roman"/>
                                              <w:sz w:val="24"/>
                                              <w:szCs w:val="24"/>
                                            </w:rPr>
                                            <w:t> на английски, френски и руски език.</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sz w:val="24"/>
                                              <w:szCs w:val="24"/>
                                            </w:rPr>
                                            <w:t>Среща между АЕБТРИ и OFAE</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090920" cy="4563745"/>
                                                <wp:effectExtent l="19050" t="0" r="5080" b="0"/>
                                                <wp:docPr id="3" name="Picture 3" descr="http://aebtri.com/Img/AEBTRI-OF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ebtri.com/Img/AEBTRI-OFAE.JPG"/>
                                                        <pic:cNvPicPr>
                                                          <a:picLocks noChangeAspect="1" noChangeArrowheads="1"/>
                                                        </pic:cNvPicPr>
                                                      </pic:nvPicPr>
                                                      <pic:blipFill>
                                                        <a:blip r:embed="rId16" cstate="print"/>
                                                        <a:srcRect/>
                                                        <a:stretch>
                                                          <a:fillRect/>
                                                        </a:stretch>
                                                      </pic:blipFill>
                                                      <pic:spPr bwMode="auto">
                                                        <a:xfrm>
                                                          <a:off x="0" y="0"/>
                                                          <a:ext cx="6090920" cy="4563745"/>
                                                        </a:xfrm>
                                                        <a:prstGeom prst="rect">
                                                          <a:avLst/>
                                                        </a:prstGeom>
                                                        <a:noFill/>
                                                        <a:ln w="9525">
                                                          <a:noFill/>
                                                          <a:miter lim="800000"/>
                                                          <a:headEnd/>
                                                          <a:tailEnd/>
                                                        </a:ln>
                                                      </pic:spPr>
                                                    </pic:pic>
                                                  </a:graphicData>
                                                </a:graphic>
                                              </wp:inline>
                                            </w:drawing>
                                          </w:r>
                                          <w:r w:rsidRPr="00420C3C">
                                            <w:rPr>
                                              <w:rFonts w:ascii="Times New Roman" w:eastAsia="Times New Roman" w:hAnsi="Times New Roman" w:cs="Times New Roman"/>
                                              <w:sz w:val="24"/>
                                              <w:szCs w:val="24"/>
                                            </w:rPr>
                                            <w:t> </w:t>
                                          </w:r>
                                        </w:p>
                                        <w:p w:rsidR="00420C3C" w:rsidRPr="00420C3C" w:rsidRDefault="00420C3C" w:rsidP="00420C3C">
                                          <w:pPr>
                                            <w:spacing w:before="100" w:beforeAutospacing="1" w:after="100" w:afterAutospacing="1" w:line="163" w:lineRule="atLeast"/>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На 21 февруари 2014 г. в Солун се проведе среща между ръководствата на Асоциацията на българските предприятия за международни превози и пътищата (АЕБТРИ) и Гръцката федерация за международен автомобилен транспорт (OFAE). Делегацията на АЕБТРИ бе водена от председателя на Управителния съвет Георги Петърнейчев, а делегацията на OFAE – от президента на организацията Апостолос Кенанидис. Обменена беше информация за превозите под покритието на карнети ТИР, както и за проблемите, които срещат превозвачите от двете страни при извършване на международни превози на товари. АЕБТРИ запозна гръцките си колеги с инициативата за създаване на Балкански транспортен форум, която беше приветствана и подкрепена от президента на OFAE. Двете организации се договориха да си сътрудничат по-тясно и да провеждат съвместни заседания два пъти годишно с цел разглеждане на въпроси от взаимен интерес и трайно разрешаване на проблемите на превозвачите.</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sz w:val="24"/>
                                              <w:szCs w:val="24"/>
                                            </w:rPr>
                                            <w:t>Среща между Асоциацията на българските предприятия за международни превози и пътищата (АЕБТРИ) и Асоциацията на международните превозвачи на Турция (UND)</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246245" cy="4603750"/>
                                                <wp:effectExtent l="19050" t="0" r="1905" b="0"/>
                                                <wp:docPr id="4" name="Picture 4" descr="http://aebtri.com/Img/und-bulgaristan13-02-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ebtri.com/Img/und-bulgaristan13-02-2014.jpg"/>
                                                        <pic:cNvPicPr>
                                                          <a:picLocks noChangeAspect="1" noChangeArrowheads="1"/>
                                                        </pic:cNvPicPr>
                                                      </pic:nvPicPr>
                                                      <pic:blipFill>
                                                        <a:blip r:embed="rId17" cstate="print"/>
                                                        <a:srcRect/>
                                                        <a:stretch>
                                                          <a:fillRect/>
                                                        </a:stretch>
                                                      </pic:blipFill>
                                                      <pic:spPr bwMode="auto">
                                                        <a:xfrm>
                                                          <a:off x="0" y="0"/>
                                                          <a:ext cx="4246245" cy="4603750"/>
                                                        </a:xfrm>
                                                        <a:prstGeom prst="rect">
                                                          <a:avLst/>
                                                        </a:prstGeom>
                                                        <a:noFill/>
                                                        <a:ln w="9525">
                                                          <a:noFill/>
                                                          <a:miter lim="800000"/>
                                                          <a:headEnd/>
                                                          <a:tailEnd/>
                                                        </a:ln>
                                                      </pic:spPr>
                                                    </pic:pic>
                                                  </a:graphicData>
                                                </a:graphic>
                                              </wp:inline>
                                            </w:drawing>
                                          </w:r>
                                          <w:r w:rsidRPr="00420C3C">
                                            <w:rPr>
                                              <w:rFonts w:ascii="Times New Roman" w:eastAsia="Times New Roman" w:hAnsi="Times New Roman" w:cs="Times New Roman"/>
                                              <w:sz w:val="24"/>
                                              <w:szCs w:val="24"/>
                                            </w:rPr>
                                            <w:t> </w:t>
                                          </w:r>
                                        </w:p>
                                        <w:p w:rsidR="00420C3C" w:rsidRPr="00420C3C" w:rsidRDefault="00420C3C" w:rsidP="00420C3C">
                                          <w:pPr>
                                            <w:spacing w:before="100" w:beforeAutospacing="1" w:after="100" w:afterAutospacing="1" w:line="163" w:lineRule="atLeast"/>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На 13.02.2014 г. в централата на UND в гр.Истанбул се проведе съвместно заседание на АЕБТРИ и UND в следствие на предложението на генералния секретар на Международния съюз за автомобилен транспорт (ИРУ), г-н Умберто де Прето за организиране на двустранна среща. Делегациите бяха водени от председателите на управителните съвети на двете асоциации.</w:t>
                                          </w:r>
                                          <w:r w:rsidRPr="00420C3C">
                                            <w:rPr>
                                              <w:rFonts w:ascii="Times New Roman" w:eastAsia="Times New Roman" w:hAnsi="Times New Roman" w:cs="Times New Roman"/>
                                              <w:sz w:val="24"/>
                                              <w:szCs w:val="24"/>
                                            </w:rPr>
                                            <w:br/>
                                            <w:t>    Участниците отбелязаха дългогодишното добро сътрудничество между двете организации, както и при дейността им в рамките на IRU и BSEC-URTA, като предвид настоящата ситуация подчертаха необходимостта от подобряване на комуникацията между тях. Делегациите обсъдиха политиките на Министерството на транспорта, съобщенията и информационните технологии на Република България и Министерството на транспорта, морските въпроси и съобщенията на Република Турция относно действащия разрешителен режим в областта на автомобилните превози на товари. Предвид възникналата ситуация с обмена на разрешителните между България и Турция и исканията на превозвачите двете делегации се съгласиха, че е възможно да бъдат започнати разговори в посока на либерализация на превозите.</w:t>
                                          </w:r>
                                          <w:r w:rsidRPr="00420C3C">
                                            <w:rPr>
                                              <w:rFonts w:ascii="Times New Roman" w:eastAsia="Times New Roman" w:hAnsi="Times New Roman" w:cs="Times New Roman"/>
                                              <w:sz w:val="24"/>
                                              <w:szCs w:val="24"/>
                                            </w:rPr>
                                            <w:br/>
                                            <w:t>    По искане на АЕБТРИ бяха обсъдени възможностите за разрешаване на проблема, свързан с определянето на вида на превозите от страна на турските контролни органи въз основа на фактурата, която не е транспортен документ.</w:t>
                                          </w:r>
                                          <w:r w:rsidRPr="00420C3C">
                                            <w:rPr>
                                              <w:rFonts w:ascii="Times New Roman" w:eastAsia="Times New Roman" w:hAnsi="Times New Roman" w:cs="Times New Roman"/>
                                              <w:sz w:val="24"/>
                                              <w:szCs w:val="24"/>
                                            </w:rPr>
                                            <w:br/>
                                            <w:t xml:space="preserve">    С цел укрепване на сътрудничеството и избягване на подобни ситуации в бъдеще </w:t>
                                          </w:r>
                                          <w:r w:rsidRPr="00420C3C">
                                            <w:rPr>
                                              <w:rFonts w:ascii="Times New Roman" w:eastAsia="Times New Roman" w:hAnsi="Times New Roman" w:cs="Times New Roman"/>
                                              <w:sz w:val="24"/>
                                              <w:szCs w:val="24"/>
                                            </w:rPr>
                                            <w:lastRenderedPageBreak/>
                                            <w:t>АЕБТРИ и UND се договориха да провеждат съвместни заседания на всеки шест месеца, за да обсъждат въпроси от взаимен интерес. Решено беше с цел да съдействат на компетентните органи асоциациите да ги информират за резултатите от проведените двустранни срещи, както и да се осъществява незабавен директен контакт по телефона за разрешаване на спешни случаи и проблеми на български и турски превозвачи.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800000"/>
                                              <w:sz w:val="24"/>
                                              <w:szCs w:val="24"/>
                                            </w:rPr>
                                            <w:t>ДЕКЛАРАЦИЯ</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proofErr w:type="gramStart"/>
                                          <w:r w:rsidRPr="00420C3C">
                                            <w:rPr>
                                              <w:rFonts w:ascii="Times New Roman" w:eastAsia="Times New Roman" w:hAnsi="Times New Roman" w:cs="Times New Roman"/>
                                              <w:b/>
                                              <w:bCs/>
                                              <w:sz w:val="24"/>
                                              <w:szCs w:val="24"/>
                                            </w:rPr>
                                            <w:t>от</w:t>
                                          </w:r>
                                          <w:proofErr w:type="gramEnd"/>
                                          <w:r w:rsidRPr="00420C3C">
                                            <w:rPr>
                                              <w:rFonts w:ascii="Times New Roman" w:eastAsia="Times New Roman" w:hAnsi="Times New Roman" w:cs="Times New Roman"/>
                                              <w:b/>
                                              <w:bCs/>
                                              <w:sz w:val="24"/>
                                              <w:szCs w:val="24"/>
                                            </w:rPr>
                                            <w:t xml:space="preserve"> Управителния съвет (УС) на Асоциация на българските предприятия за международни превози и пътищата (АЕБТРИ),</w:t>
                                          </w:r>
                                          <w:r w:rsidRPr="00420C3C">
                                            <w:rPr>
                                              <w:rFonts w:ascii="Times New Roman" w:eastAsia="Times New Roman" w:hAnsi="Times New Roman" w:cs="Times New Roman"/>
                                              <w:b/>
                                              <w:bCs/>
                                              <w:sz w:val="24"/>
                                              <w:szCs w:val="24"/>
                                            </w:rPr>
                                            <w:br/>
                                            <w:t>приета на извънредно заседание, проведено на 10.02.2014 г.</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Като взе предвид                                                                  </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създалата се обстановка на граничните пунктове с Република Турция в резултат на обезсилването на 15 хиляди разрешителни, изпратени от България на Република Турция за 2014 г. </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огромните загуби, които търпят българските превозвачи,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писмото на генералния секретар на Международния съюз за автомобилен транспорт (ИРУ) до турската и българската асоциации за международни превози, </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липсата на отговор от турската страна на искането на АЕБТРИ за незабавна среща, </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изразената готовност за протест и блокиране на граничните пунктове от страна на малките превозвачи,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липсата на информация за обезсилване на разрешителните от страна на ИА “Автомобилна администрация”, в резултат на което стотици автомобили са блокирани повече от 10 дни на границата, </w:t>
                                          </w:r>
                                          <w:r w:rsidRPr="00420C3C">
                                            <w:rPr>
                                              <w:rFonts w:ascii="Times New Roman" w:eastAsia="Times New Roman" w:hAnsi="Times New Roman" w:cs="Times New Roman"/>
                                              <w:sz w:val="24"/>
                                              <w:szCs w:val="24"/>
                                            </w:rPr>
                                            <w:b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сигналите за нарушения диалог с браншовите организации от страна на ИА “Автомобилна администрация”, заместен с разговори директно с фирми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sz w:val="24"/>
                                              <w:szCs w:val="24"/>
                                            </w:rPr>
                                            <w:t>УС на АЕБТРИ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r w:rsidRPr="00420C3C">
                                            <w:rPr>
                                              <w:rFonts w:ascii="Times New Roman" w:eastAsia="Times New Roman" w:hAnsi="Times New Roman" w:cs="Times New Roman"/>
                                              <w:b/>
                                              <w:bCs/>
                                              <w:sz w:val="24"/>
                                              <w:szCs w:val="24"/>
                                            </w:rPr>
                                            <w:t>информира</w:t>
                                          </w:r>
                                          <w:r w:rsidRPr="00420C3C">
                                            <w:rPr>
                                              <w:rFonts w:ascii="Times New Roman" w:eastAsia="Times New Roman" w:hAnsi="Times New Roman" w:cs="Times New Roman"/>
                                              <w:sz w:val="24"/>
                                              <w:szCs w:val="24"/>
                                            </w:rPr>
                                            <w:t> генералния секретар на ИРУ, че все още няма реакция от турската асоциация за спешна среща, а на пунктовете са блокирани стотици български и турски превозвачи повече от 10 дни;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r w:rsidRPr="00420C3C">
                                            <w:rPr>
                                              <w:rFonts w:ascii="Times New Roman" w:eastAsia="Times New Roman" w:hAnsi="Times New Roman" w:cs="Times New Roman"/>
                                              <w:b/>
                                              <w:bCs/>
                                              <w:sz w:val="24"/>
                                              <w:szCs w:val="24"/>
                                            </w:rPr>
                                            <w:t>предлага</w:t>
                                          </w:r>
                                          <w:r w:rsidRPr="00420C3C">
                                            <w:rPr>
                                              <w:rFonts w:ascii="Times New Roman" w:eastAsia="Times New Roman" w:hAnsi="Times New Roman" w:cs="Times New Roman"/>
                                              <w:sz w:val="24"/>
                                              <w:szCs w:val="24"/>
                                            </w:rPr>
                                            <w:t xml:space="preserve"> на Министъра на транспорта, информационните техно-логии и съобщенията да потърси отговорност от виновните за неин-формирането на браншовите организации (своевременно) в т.ч. и АЕБТРИ за предупреждението от турската администрация да обяви невалидност на дадените разрешителни (в резултат на което са бло-кирани стотици </w:t>
                                          </w:r>
                                          <w:r w:rsidRPr="00420C3C">
                                            <w:rPr>
                                              <w:rFonts w:ascii="Times New Roman" w:eastAsia="Times New Roman" w:hAnsi="Times New Roman" w:cs="Times New Roman"/>
                                              <w:sz w:val="24"/>
                                              <w:szCs w:val="24"/>
                                            </w:rPr>
                                            <w:lastRenderedPageBreak/>
                                            <w:t>автомобили на границата), както и за нарушения диа-лог с национално признатите браншови организации и директните обсъждания на проблемите с отделни фирми;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r w:rsidRPr="00420C3C">
                                            <w:rPr>
                                              <w:rFonts w:ascii="Times New Roman" w:eastAsia="Times New Roman" w:hAnsi="Times New Roman" w:cs="Times New Roman"/>
                                              <w:b/>
                                              <w:bCs/>
                                              <w:sz w:val="24"/>
                                              <w:szCs w:val="24"/>
                                            </w:rPr>
                                            <w:t>изразява</w:t>
                                          </w:r>
                                          <w:r w:rsidRPr="00420C3C">
                                            <w:rPr>
                                              <w:rFonts w:ascii="Times New Roman" w:eastAsia="Times New Roman" w:hAnsi="Times New Roman" w:cs="Times New Roman"/>
                                              <w:sz w:val="24"/>
                                              <w:szCs w:val="24"/>
                                            </w:rPr>
                                            <w:t> недоумение, че до момента все още не са решени проблемите с ЕКМТ/СЕМТ разрешителните от Международния транс-портен форум и не са предприети мерки спрямо турските митнически власти, нарушаващи правилата на ЕКМТ/СЕМТ;</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r w:rsidRPr="00420C3C">
                                            <w:rPr>
                                              <w:rFonts w:ascii="Times New Roman" w:eastAsia="Times New Roman" w:hAnsi="Times New Roman" w:cs="Times New Roman"/>
                                              <w:b/>
                                              <w:bCs/>
                                              <w:sz w:val="24"/>
                                              <w:szCs w:val="24"/>
                                            </w:rPr>
                                            <w:t>заявява</w:t>
                                          </w:r>
                                          <w:r w:rsidRPr="00420C3C">
                                            <w:rPr>
                                              <w:rFonts w:ascii="Times New Roman" w:eastAsia="Times New Roman" w:hAnsi="Times New Roman" w:cs="Times New Roman"/>
                                              <w:sz w:val="24"/>
                                              <w:szCs w:val="24"/>
                                            </w:rPr>
                                            <w:t>, че не е в състояние да повлияе на превозвачите, които са в готовност за протест и блокиране на границата;</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br/>
                                            <w:t>- </w:t>
                                          </w:r>
                                          <w:r w:rsidRPr="00420C3C">
                                            <w:rPr>
                                              <w:rFonts w:ascii="Times New Roman" w:eastAsia="Times New Roman" w:hAnsi="Times New Roman" w:cs="Times New Roman"/>
                                              <w:b/>
                                              <w:bCs/>
                                              <w:sz w:val="24"/>
                                              <w:szCs w:val="24"/>
                                            </w:rPr>
                                            <w:t>счита</w:t>
                                          </w:r>
                                          <w:r w:rsidRPr="00420C3C">
                                            <w:rPr>
                                              <w:rFonts w:ascii="Times New Roman" w:eastAsia="Times New Roman" w:hAnsi="Times New Roman" w:cs="Times New Roman"/>
                                              <w:sz w:val="24"/>
                                              <w:szCs w:val="24"/>
                                            </w:rPr>
                                            <w:t>, че не е достатъчна активността на автомобилните админи-страции за своевременно определяне на квотите разрешителни през следващите години;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br/>
                                            <w:t>- </w:t>
                                          </w:r>
                                          <w:proofErr w:type="gramStart"/>
                                          <w:r w:rsidRPr="00420C3C">
                                            <w:rPr>
                                              <w:rFonts w:ascii="Times New Roman" w:eastAsia="Times New Roman" w:hAnsi="Times New Roman" w:cs="Times New Roman"/>
                                              <w:b/>
                                              <w:bCs/>
                                              <w:sz w:val="24"/>
                                              <w:szCs w:val="24"/>
                                            </w:rPr>
                                            <w:t>настоява</w:t>
                                          </w:r>
                                          <w:proofErr w:type="gramEnd"/>
                                          <w:r w:rsidRPr="00420C3C">
                                            <w:rPr>
                                              <w:rFonts w:ascii="Times New Roman" w:eastAsia="Times New Roman" w:hAnsi="Times New Roman" w:cs="Times New Roman"/>
                                              <w:sz w:val="24"/>
                                              <w:szCs w:val="24"/>
                                            </w:rPr>
                                            <w:t> двете страни да разгледат и решат напълно да се либерализира режимът на автомобилните превози. С участието на Министерство на транспорта, информационните технологии и съобщенията да се проведе спешна среща с правителството днес, 10.02.2014 г. за информиране за състоянието и готовността целият бранш да се присъедини към протестите, ако не се вземат спешни мерки.</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800000"/>
                                              <w:sz w:val="20"/>
                                            </w:rPr>
                                            <w:t>Информация</w:t>
                                          </w:r>
                                          <w:r w:rsidRPr="00420C3C">
                                            <w:rPr>
                                              <w:rFonts w:ascii="Times New Roman" w:eastAsia="Times New Roman" w:hAnsi="Times New Roman" w:cs="Times New Roman"/>
                                              <w:b/>
                                              <w:bCs/>
                                              <w:color w:val="800000"/>
                                              <w:sz w:val="20"/>
                                              <w:szCs w:val="20"/>
                                            </w:rPr>
                                            <w:br/>
                                          </w:r>
                                          <w:r w:rsidRPr="00420C3C">
                                            <w:rPr>
                                              <w:rFonts w:ascii="Times New Roman" w:eastAsia="Times New Roman" w:hAnsi="Times New Roman" w:cs="Times New Roman"/>
                                              <w:b/>
                                              <w:bCs/>
                                              <w:color w:val="800000"/>
                                              <w:sz w:val="20"/>
                                            </w:rPr>
                                            <w:t>относно проблема с разрешителните за превоз на товари</w:t>
                                          </w:r>
                                          <w:r w:rsidRPr="00420C3C">
                                            <w:rPr>
                                              <w:rFonts w:ascii="Times New Roman" w:eastAsia="Times New Roman" w:hAnsi="Times New Roman" w:cs="Times New Roman"/>
                                              <w:b/>
                                              <w:bCs/>
                                              <w:color w:val="800000"/>
                                              <w:sz w:val="20"/>
                                              <w:szCs w:val="20"/>
                                            </w:rPr>
                                            <w:br/>
                                          </w:r>
                                          <w:r w:rsidRPr="00420C3C">
                                            <w:rPr>
                                              <w:rFonts w:ascii="Times New Roman" w:eastAsia="Times New Roman" w:hAnsi="Times New Roman" w:cs="Times New Roman"/>
                                              <w:b/>
                                              <w:bCs/>
                                              <w:color w:val="800000"/>
                                              <w:sz w:val="20"/>
                                            </w:rPr>
                                            <w:t>между България и Турция</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В областта на автомобилния транспорт двустранните отношения са регламентирани от Спогодбата между Народна република България и Република Турция за международни автомобилни превози на пътници и товари, подписана в Анкара на 16 април 1977 г. Съгласно спогодбата компетентните органи определят годишен контингент от разрешителни. </w:t>
                                          </w:r>
                                          <w:r w:rsidRPr="00420C3C">
                                            <w:rPr>
                                              <w:rFonts w:ascii="Verdana" w:eastAsia="Times New Roman" w:hAnsi="Verdana" w:cs="Times New Roman"/>
                                              <w:color w:val="000000"/>
                                              <w:sz w:val="14"/>
                                              <w:szCs w:val="14"/>
                                            </w:rPr>
                                            <w:br/>
                                            <w:t>     За последен път контингентът от разрешителни между двете страни, който се разменя на реципрочна основа, е договорен през 2012 г., както следва по видове и количества: </w:t>
                                          </w:r>
                                          <w:r w:rsidRPr="00420C3C">
                                            <w:rPr>
                                              <w:rFonts w:ascii="Verdana" w:eastAsia="Times New Roman" w:hAnsi="Verdana" w:cs="Times New Roman"/>
                                              <w:color w:val="000000"/>
                                              <w:sz w:val="14"/>
                                              <w:szCs w:val="14"/>
                                            </w:rPr>
                                            <w:br/>
                                            <w:t>     - транзитни разрешителни – 250 000 бр. </w:t>
                                          </w:r>
                                          <w:r w:rsidRPr="00420C3C">
                                            <w:rPr>
                                              <w:rFonts w:ascii="Verdana" w:eastAsia="Times New Roman" w:hAnsi="Verdana" w:cs="Times New Roman"/>
                                              <w:color w:val="000000"/>
                                              <w:sz w:val="14"/>
                                              <w:szCs w:val="14"/>
                                            </w:rPr>
                                            <w:br/>
                                            <w:t>     - „празен-пълен” – 17 500 бр.</w:t>
                                          </w:r>
                                          <w:r w:rsidRPr="00420C3C">
                                            <w:rPr>
                                              <w:rFonts w:ascii="Verdana" w:eastAsia="Times New Roman" w:hAnsi="Verdana" w:cs="Times New Roman"/>
                                              <w:color w:val="000000"/>
                                              <w:sz w:val="14"/>
                                              <w:szCs w:val="14"/>
                                            </w:rPr>
                                            <w:br/>
                                            <w:t>     - </w:t>
                                          </w:r>
                                          <w:proofErr w:type="gramStart"/>
                                          <w:r w:rsidRPr="00420C3C">
                                            <w:rPr>
                                              <w:rFonts w:ascii="Verdana" w:eastAsia="Times New Roman" w:hAnsi="Verdana" w:cs="Times New Roman"/>
                                              <w:color w:val="000000"/>
                                              <w:sz w:val="14"/>
                                              <w:szCs w:val="14"/>
                                            </w:rPr>
                                            <w:t>двустранни</w:t>
                                          </w:r>
                                          <w:proofErr w:type="gramEnd"/>
                                          <w:r w:rsidRPr="00420C3C">
                                            <w:rPr>
                                              <w:rFonts w:ascii="Verdana" w:eastAsia="Times New Roman" w:hAnsi="Verdana" w:cs="Times New Roman"/>
                                              <w:color w:val="000000"/>
                                              <w:sz w:val="14"/>
                                              <w:szCs w:val="14"/>
                                            </w:rPr>
                                            <w:t xml:space="preserve"> „пълен-пълен” – 32 000 бр. </w:t>
                                          </w:r>
                                          <w:r w:rsidRPr="00420C3C">
                                            <w:rPr>
                                              <w:rFonts w:ascii="Verdana" w:eastAsia="Times New Roman" w:hAnsi="Verdana" w:cs="Times New Roman"/>
                                              <w:color w:val="000000"/>
                                              <w:sz w:val="14"/>
                                              <w:szCs w:val="14"/>
                                            </w:rPr>
                                            <w:br/>
                                            <w:t>     - за/от трета страна – 1 100 бр.</w:t>
                                          </w:r>
                                          <w:r w:rsidRPr="00420C3C">
                                            <w:rPr>
                                              <w:rFonts w:ascii="Verdana" w:eastAsia="Times New Roman" w:hAnsi="Verdana" w:cs="Times New Roman"/>
                                              <w:color w:val="000000"/>
                                              <w:sz w:val="14"/>
                                              <w:szCs w:val="14"/>
                                            </w:rPr>
                                            <w:br/>
                                            <w:t xml:space="preserve">     В случай че и двете страни са съгласни с този контингент, съгласно установената практика той се счита и за предварителен контингент за следващата календарна година. По настояване на българската страна по време на двете заседания на Смесената българско-турска комисия по международен автомобилен транспорт, проведени през месец септември 2013 г. (3-4 септември 2013 г. в гр. Анкара и 17-18 септември 2013 г. в гр. София), в дневния ред бе включен въпросът за определяне на контингента от разрешителни за 2014 </w:t>
                                          </w:r>
                                          <w:proofErr w:type="gramStart"/>
                                          <w:r w:rsidRPr="00420C3C">
                                            <w:rPr>
                                              <w:rFonts w:ascii="Verdana" w:eastAsia="Times New Roman" w:hAnsi="Verdana" w:cs="Times New Roman"/>
                                              <w:color w:val="000000"/>
                                              <w:sz w:val="14"/>
                                              <w:szCs w:val="14"/>
                                            </w:rPr>
                                            <w:t>г.,</w:t>
                                          </w:r>
                                          <w:proofErr w:type="gramEnd"/>
                                          <w:r w:rsidRPr="00420C3C">
                                            <w:rPr>
                                              <w:rFonts w:ascii="Verdana" w:eastAsia="Times New Roman" w:hAnsi="Verdana" w:cs="Times New Roman"/>
                                              <w:color w:val="000000"/>
                                              <w:sz w:val="14"/>
                                              <w:szCs w:val="14"/>
                                            </w:rPr>
                                            <w:t xml:space="preserve"> поради това че същият не отговаря на реалните потребности на превозвачите. И двете срещи са приключили без да бъдат подписани протоколи и съответно без да бъде определен контингентът от разрешителни за 2014 г.</w:t>
                                          </w:r>
                                          <w:r w:rsidRPr="00420C3C">
                                            <w:rPr>
                                              <w:rFonts w:ascii="Verdana" w:eastAsia="Times New Roman" w:hAnsi="Verdana" w:cs="Times New Roman"/>
                                              <w:color w:val="000000"/>
                                              <w:sz w:val="14"/>
                                              <w:szCs w:val="14"/>
                                            </w:rPr>
                                            <w:br/>
                                            <w:t>     През месец ноември 2013 г. българската страна отново постави въпроса за провеждане на среща във възможно най-кратък срок, на която да бъде определен броят на разрешителните за 2014 г. По своя инициатива през ноември 2013 г. турската страна изпрати част от разрешителните, договорени през 2012 г., както е видно по-долу: </w:t>
                                          </w:r>
                                          <w:r w:rsidRPr="00420C3C">
                                            <w:rPr>
                                              <w:rFonts w:ascii="Verdana" w:eastAsia="Times New Roman" w:hAnsi="Verdana" w:cs="Times New Roman"/>
                                              <w:color w:val="000000"/>
                                              <w:sz w:val="14"/>
                                              <w:szCs w:val="14"/>
                                            </w:rPr>
                                            <w:br/>
                                            <w:t>     - транзитни разрешителни – 5 000 бр. </w:t>
                                          </w:r>
                                          <w:r w:rsidRPr="00420C3C">
                                            <w:rPr>
                                              <w:rFonts w:ascii="Verdana" w:eastAsia="Times New Roman" w:hAnsi="Verdana" w:cs="Times New Roman"/>
                                              <w:color w:val="000000"/>
                                              <w:sz w:val="14"/>
                                              <w:szCs w:val="14"/>
                                            </w:rPr>
                                            <w:br/>
                                            <w:t>     - „празен-пълен” – 8 750 бр.</w:t>
                                          </w:r>
                                          <w:r w:rsidRPr="00420C3C">
                                            <w:rPr>
                                              <w:rFonts w:ascii="Verdana" w:eastAsia="Times New Roman" w:hAnsi="Verdana" w:cs="Times New Roman"/>
                                              <w:color w:val="000000"/>
                                              <w:sz w:val="14"/>
                                              <w:szCs w:val="14"/>
                                            </w:rPr>
                                            <w:br/>
                                            <w:t>     - </w:t>
                                          </w:r>
                                          <w:proofErr w:type="gramStart"/>
                                          <w:r w:rsidRPr="00420C3C">
                                            <w:rPr>
                                              <w:rFonts w:ascii="Verdana" w:eastAsia="Times New Roman" w:hAnsi="Verdana" w:cs="Times New Roman"/>
                                              <w:color w:val="000000"/>
                                              <w:sz w:val="14"/>
                                              <w:szCs w:val="14"/>
                                            </w:rPr>
                                            <w:t>двустранни</w:t>
                                          </w:r>
                                          <w:proofErr w:type="gramEnd"/>
                                          <w:r w:rsidRPr="00420C3C">
                                            <w:rPr>
                                              <w:rFonts w:ascii="Verdana" w:eastAsia="Times New Roman" w:hAnsi="Verdana" w:cs="Times New Roman"/>
                                              <w:color w:val="000000"/>
                                              <w:sz w:val="14"/>
                                              <w:szCs w:val="14"/>
                                            </w:rPr>
                                            <w:t xml:space="preserve"> „пълен-пълен” – 16 000 бр. </w:t>
                                          </w:r>
                                          <w:r w:rsidRPr="00420C3C">
                                            <w:rPr>
                                              <w:rFonts w:ascii="Verdana" w:eastAsia="Times New Roman" w:hAnsi="Verdana" w:cs="Times New Roman"/>
                                              <w:color w:val="000000"/>
                                              <w:sz w:val="14"/>
                                              <w:szCs w:val="14"/>
                                            </w:rPr>
                                            <w:br/>
                                            <w:t>     - за/от трета страна – 550 бр.  </w:t>
                                          </w:r>
                                          <w:r w:rsidRPr="00420C3C">
                                            <w:rPr>
                                              <w:rFonts w:ascii="Verdana" w:eastAsia="Times New Roman" w:hAnsi="Verdana" w:cs="Times New Roman"/>
                                              <w:color w:val="000000"/>
                                              <w:sz w:val="14"/>
                                              <w:szCs w:val="14"/>
                                            </w:rPr>
                                            <w:br/>
                                            <w:t xml:space="preserve">   Спазвайки принципа на реципрочност, българската страна предостави същото количество разрешителни, като за пореден път отбеляза, че тези разрешителни представляват предварителен контингент за 2014 г., като окончателен не е договарян. В знак на добронамереност на 20.01.2014 г. българската страна предостави още 10 000 бр. </w:t>
                                          </w:r>
                                          <w:proofErr w:type="gramStart"/>
                                          <w:r w:rsidRPr="00420C3C">
                                            <w:rPr>
                                              <w:rFonts w:ascii="Verdana" w:eastAsia="Times New Roman" w:hAnsi="Verdana" w:cs="Times New Roman"/>
                                              <w:color w:val="000000"/>
                                              <w:sz w:val="14"/>
                                              <w:szCs w:val="14"/>
                                            </w:rPr>
                                            <w:t>транзитни</w:t>
                                          </w:r>
                                          <w:proofErr w:type="gramEnd"/>
                                          <w:r w:rsidRPr="00420C3C">
                                            <w:rPr>
                                              <w:rFonts w:ascii="Verdana" w:eastAsia="Times New Roman" w:hAnsi="Verdana" w:cs="Times New Roman"/>
                                              <w:color w:val="000000"/>
                                              <w:sz w:val="14"/>
                                              <w:szCs w:val="14"/>
                                            </w:rPr>
                                            <w:t xml:space="preserve"> разрешителни за нуждите на турските превозвачи.</w:t>
                                          </w:r>
                                          <w:r w:rsidRPr="00420C3C">
                                            <w:rPr>
                                              <w:rFonts w:ascii="Verdana" w:eastAsia="Times New Roman" w:hAnsi="Verdana" w:cs="Times New Roman"/>
                                              <w:color w:val="000000"/>
                                              <w:sz w:val="14"/>
                                              <w:szCs w:val="14"/>
                                            </w:rPr>
                                            <w:br/>
                                            <w:t>     Турската страна информира, че при непредоставяне на половината от договорените през 2012 г. транзитни разрешителни в срок до 30.01.2014 г. едностранно ще обяви за невалидни предоставените разрешителни за българските превозвачи, както и че среща може да се проведе единствено, при условие че българската страна й предостави тази бройка. Като ответна мярка българската страна обяви за невалидни разрешителните за турските превозвачи, считано от 00:00 ч. на 01.02.2014 г.</w:t>
                                          </w:r>
                                          <w:r w:rsidRPr="00420C3C">
                                            <w:rPr>
                                              <w:rFonts w:ascii="Verdana" w:eastAsia="Times New Roman" w:hAnsi="Verdana" w:cs="Times New Roman"/>
                                              <w:color w:val="000000"/>
                                              <w:sz w:val="14"/>
                                              <w:szCs w:val="14"/>
                                            </w:rPr>
                                            <w:br/>
                                            <w:t>     </w:t>
                                          </w:r>
                                          <w:r w:rsidRPr="00420C3C">
                                            <w:rPr>
                                              <w:rFonts w:ascii="Verdana" w:eastAsia="Times New Roman" w:hAnsi="Verdana" w:cs="Times New Roman"/>
                                              <w:color w:val="000000"/>
                                              <w:sz w:val="14"/>
                                            </w:rPr>
                                            <w:t> </w:t>
                                          </w:r>
                                          <w:r w:rsidRPr="00420C3C">
                                            <w:rPr>
                                              <w:rFonts w:ascii="Verdana" w:eastAsia="Times New Roman" w:hAnsi="Verdana" w:cs="Times New Roman"/>
                                              <w:b/>
                                              <w:bCs/>
                                              <w:i/>
                                              <w:iCs/>
                                              <w:color w:val="000000"/>
                                              <w:sz w:val="14"/>
                                            </w:rPr>
                                            <w:t>Източник: ИА “Автомобилна администрация”</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color w:val="000000"/>
                                              <w:sz w:val="14"/>
                                              <w:szCs w:val="14"/>
                                            </w:rPr>
                                          </w:pPr>
                                          <w:r w:rsidRPr="00420C3C">
                                            <w:rPr>
                                              <w:rFonts w:ascii="Verdana" w:eastAsia="Times New Roman" w:hAnsi="Verdana" w:cs="Times New Roman"/>
                                              <w:color w:val="000000"/>
                                              <w:sz w:val="14"/>
                                              <w:szCs w:val="14"/>
                                            </w:rPr>
                                            <w:t> </w:t>
                                          </w:r>
                                        </w:p>
                                        <w:p w:rsidR="00420C3C" w:rsidRPr="00420C3C" w:rsidRDefault="00420C3C" w:rsidP="00420C3C">
                                          <w:pPr>
                                            <w:spacing w:after="0" w:line="163" w:lineRule="atLeast"/>
                                            <w:jc w:val="both"/>
                                            <w:rPr>
                                              <w:rFonts w:ascii="Verdana" w:eastAsia="Times New Roman" w:hAnsi="Verdana" w:cs="Times New Roman"/>
                                              <w:sz w:val="14"/>
                                              <w:szCs w:val="14"/>
                                            </w:rPr>
                                          </w:pPr>
                                          <w:r>
                                            <w:rPr>
                                              <w:rFonts w:ascii="Verdana" w:eastAsia="Times New Roman" w:hAnsi="Verdana" w:cs="Times New Roman"/>
                                              <w:b/>
                                              <w:bCs/>
                                              <w:noProof/>
                                              <w:color w:val="000000"/>
                                              <w:sz w:val="14"/>
                                              <w:szCs w:val="14"/>
                                            </w:rPr>
                                            <w:lastRenderedPageBreak/>
                                            <w:drawing>
                                              <wp:inline distT="0" distB="0" distL="0" distR="0">
                                                <wp:extent cx="4015105" cy="4763135"/>
                                                <wp:effectExtent l="19050" t="0" r="4445" b="0"/>
                                                <wp:docPr id="5" name="Picture 5" descr="http://aebtri.com/Img/pr_pr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ebtri.com/Img/pr_pr_5.JPG"/>
                                                        <pic:cNvPicPr>
                                                          <a:picLocks noChangeAspect="1" noChangeArrowheads="1"/>
                                                        </pic:cNvPicPr>
                                                      </pic:nvPicPr>
                                                      <pic:blipFill>
                                                        <a:blip r:embed="rId18" cstate="print"/>
                                                        <a:srcRect/>
                                                        <a:stretch>
                                                          <a:fillRect/>
                                                        </a:stretch>
                                                      </pic:blipFill>
                                                      <pic:spPr bwMode="auto">
                                                        <a:xfrm>
                                                          <a:off x="0" y="0"/>
                                                          <a:ext cx="4015105" cy="4763135"/>
                                                        </a:xfrm>
                                                        <a:prstGeom prst="rect">
                                                          <a:avLst/>
                                                        </a:prstGeom>
                                                        <a:noFill/>
                                                        <a:ln w="9525">
                                                          <a:noFill/>
                                                          <a:miter lim="800000"/>
                                                          <a:headEnd/>
                                                          <a:tailEnd/>
                                                        </a:ln>
                                                      </pic:spPr>
                                                    </pic:pic>
                                                  </a:graphicData>
                                                </a:graphic>
                                              </wp:inline>
                                            </w:drawing>
                                          </w:r>
                                          <w:r w:rsidRPr="00420C3C">
                                            <w:rPr>
                                              <w:rFonts w:ascii="Verdana" w:eastAsia="Times New Roman" w:hAnsi="Verdana" w:cs="Times New Roman"/>
                                              <w:b/>
                                              <w:bCs/>
                                              <w:color w:val="000000"/>
                                              <w:sz w:val="14"/>
                                              <w:szCs w:val="14"/>
                                            </w:rPr>
                                            <w:br/>
                                          </w:r>
                                          <w:r w:rsidRPr="00420C3C">
                                            <w:rPr>
                                              <w:rFonts w:ascii="Verdana" w:eastAsia="Times New Roman" w:hAnsi="Verdana" w:cs="Times New Roman"/>
                                              <w:color w:val="000000"/>
                                              <w:sz w:val="14"/>
                                              <w:szCs w:val="14"/>
                                            </w:rPr>
                                            <w:t>Снимка:www.prezident.bg</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000000"/>
                                              <w:sz w:val="14"/>
                                              <w:szCs w:val="14"/>
                                            </w:rPr>
                                            <w:t>От 2 до 4 декември 2013 г. на посещение в България бе новият генерален секретар на Международния съюз за автомобилен транспорт (ИРУ) – Женева, Умберто де Прето. Той беше приет от президента на Република България – Росен Плевнелиев, с когото обсъдиха значението на автомобилния транспорт за развитието на съвременните логистични процеси и икономиката като цяло. Дискутирана беше необходимостта от държавна подкрепа за сектора, включително чрез изграждането и поддържането на модерна пътна инфраструктура.</w:t>
                                          </w:r>
                                          <w:r w:rsidRPr="00420C3C">
                                            <w:rPr>
                                              <w:rFonts w:ascii="Verdana" w:eastAsia="Times New Roman" w:hAnsi="Verdana" w:cs="Times New Roman"/>
                                              <w:color w:val="000000"/>
                                              <w:sz w:val="14"/>
                                              <w:szCs w:val="14"/>
                                            </w:rPr>
                                            <w:br/>
                                            <w:t>Г-н де Прето посети и министъра на транспорта, информационните технологии и съобщенията – Данаил Папазов, с когото бяха проведени разговори по актуални въпроси в областта на развитието на автомобилните превози. На срещата бе подписан тристранен Меморандум за разбирателство за изграждане на сътрудничество в областта на професионалната квалификация в автомобилния транспорт между МТИТС, АЕБТРИ и ИРУ.</w:t>
                                          </w:r>
                                          <w:r w:rsidRPr="00420C3C">
                                            <w:rPr>
                                              <w:rFonts w:ascii="Verdana" w:eastAsia="Times New Roman" w:hAnsi="Verdana" w:cs="Times New Roman"/>
                                              <w:color w:val="000000"/>
                                              <w:sz w:val="14"/>
                                              <w:szCs w:val="14"/>
                                            </w:rPr>
                                            <w:br/>
                                            <w:t>Генералният секретар на ИРУ беше приет също така от директора на Агенция “Митници” – Павел Тонев, с когото бяха проведени разговори от взаимен интерес, свързани с режима ТИР, включително във връзка с актуалната информация за прилагането на Конвенцията ТИР в Русия.</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br/>
                                            <w:t>Във всички срещи взеха участие и Георги Петърнейчев, председател на Управителния съвет и Пламен Цалков, генерален директор на АЕБТРИ.</w:t>
                                          </w:r>
                                        </w:p>
                                        <w:p w:rsidR="00420C3C" w:rsidRPr="00420C3C" w:rsidRDefault="00420C3C" w:rsidP="00420C3C">
                                          <w:pPr>
                                            <w:spacing w:before="100" w:beforeAutospacing="1" w:after="100" w:afterAutospacing="1" w:line="163" w:lineRule="atLeast"/>
                                            <w:jc w:val="center"/>
                                            <w:rPr>
                                              <w:rFonts w:ascii="Verdana" w:eastAsia="Times New Roman" w:hAnsi="Verdana" w:cs="Times New Roman"/>
                                              <w:sz w:val="14"/>
                                              <w:szCs w:val="14"/>
                                            </w:rPr>
                                          </w:pPr>
                                          <w:r>
                                            <w:rPr>
                                              <w:rFonts w:ascii="Verdana" w:eastAsia="Times New Roman" w:hAnsi="Verdana" w:cs="Times New Roman"/>
                                              <w:b/>
                                              <w:bCs/>
                                              <w:noProof/>
                                              <w:sz w:val="14"/>
                                              <w:szCs w:val="14"/>
                                            </w:rPr>
                                            <w:lastRenderedPageBreak/>
                                            <w:drawing>
                                              <wp:inline distT="0" distB="0" distL="0" distR="0">
                                                <wp:extent cx="4015105" cy="2162810"/>
                                                <wp:effectExtent l="19050" t="0" r="4445" b="0"/>
                                                <wp:docPr id="6" name="Picture 6" descr="http://aebtri.com/Img/mtitc-iru_aebtri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ebtri.com/Img/mtitc-iru_aebtri_11.JPG"/>
                                                        <pic:cNvPicPr>
                                                          <a:picLocks noChangeAspect="1" noChangeArrowheads="1"/>
                                                        </pic:cNvPicPr>
                                                      </pic:nvPicPr>
                                                      <pic:blipFill>
                                                        <a:blip r:embed="rId19" cstate="print"/>
                                                        <a:srcRect/>
                                                        <a:stretch>
                                                          <a:fillRect/>
                                                        </a:stretch>
                                                      </pic:blipFill>
                                                      <pic:spPr bwMode="auto">
                                                        <a:xfrm>
                                                          <a:off x="0" y="0"/>
                                                          <a:ext cx="4015105" cy="2162810"/>
                                                        </a:xfrm>
                                                        <a:prstGeom prst="rect">
                                                          <a:avLst/>
                                                        </a:prstGeom>
                                                        <a:noFill/>
                                                        <a:ln w="9525">
                                                          <a:noFill/>
                                                          <a:miter lim="800000"/>
                                                          <a:headEnd/>
                                                          <a:tailEnd/>
                                                        </a:ln>
                                                      </pic:spPr>
                                                    </pic:pic>
                                                  </a:graphicData>
                                                </a:graphic>
                                              </wp:inline>
                                            </w:drawing>
                                          </w:r>
                                        </w:p>
                                        <w:p w:rsidR="00420C3C" w:rsidRPr="00420C3C" w:rsidRDefault="00420C3C" w:rsidP="00420C3C">
                                          <w:pPr>
                                            <w:spacing w:before="100" w:beforeAutospacing="1" w:after="100" w:afterAutospacing="1" w:line="163" w:lineRule="atLeast"/>
                                            <w:jc w:val="right"/>
                                            <w:rPr>
                                              <w:rFonts w:ascii="Verdana" w:eastAsia="Times New Roman" w:hAnsi="Verdana" w:cs="Times New Roman"/>
                                              <w:sz w:val="14"/>
                                              <w:szCs w:val="14"/>
                                            </w:rPr>
                                          </w:pPr>
                                          <w:r w:rsidRPr="00420C3C">
                                            <w:rPr>
                                              <w:rFonts w:ascii="Verdana" w:eastAsia="Times New Roman" w:hAnsi="Verdana" w:cs="Times New Roman"/>
                                              <w:b/>
                                              <w:bCs/>
                                              <w:sz w:val="14"/>
                                              <w:szCs w:val="14"/>
                                            </w:rPr>
                                            <w:br/>
                                          </w:r>
                                          <w:r w:rsidRPr="00420C3C">
                                            <w:rPr>
                                              <w:rFonts w:ascii="Verdana" w:eastAsia="Times New Roman" w:hAnsi="Verdana" w:cs="Times New Roman"/>
                                              <w:sz w:val="14"/>
                                              <w:szCs w:val="14"/>
                                            </w:rPr>
                                            <w:t>Снимка:www.mtitc.government.bg</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800000"/>
                                              <w:sz w:val="24"/>
                                              <w:szCs w:val="24"/>
                                            </w:rPr>
                                            <w:t>Актуално за системата ТИР в Русия</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000000"/>
                                              <w:sz w:val="14"/>
                                              <w:szCs w:val="14"/>
                                            </w:rPr>
                                            <w:t>На 30 ноември 2013 г. Федералната митническа служба на Руската федерация (ФМС на РФ) официално уведоми гарантиращата асоциация по режима ТИР в Русия – АСМАП за продължаване действието на двустранното им споразумение до 1 юли 2014 г. В съответствие с Конвенцията ТИР на тази база руските митнически власти би следвало да продължат да приемат карнетите ТИР на руските граници без допълнителни изисквания.</w:t>
                                          </w:r>
                                          <w:r w:rsidRPr="00420C3C">
                                            <w:rPr>
                                              <w:rFonts w:ascii="Verdana" w:eastAsia="Times New Roman" w:hAnsi="Verdana" w:cs="Times New Roman"/>
                                              <w:color w:val="000000"/>
                                              <w:sz w:val="14"/>
                                              <w:szCs w:val="14"/>
                                            </w:rPr>
                                            <w:br/>
                                            <w:t>В разрез с горното обаче на 2 декември 2013 г. ФМС на РФ публикува съобщение, съгласно което незаконните ограничения по отношение на Конвенцията ТИР продължават да се прилагат в Централното, Южното, Северно-Кавказкото, Поволжското, Уралското, Сибирското и Далекоизточното митнически управления, в митниците на летищата Домодедово, Шереметиево и Внуково, както и в Псковската, Себежската и Кингисепската митници към Северозападното митническо управление. Същевременно се потвърждава, че карнетите ТИР се приемат във Виборгската, Карелската и Мурманската митници към Северозападното митническо управление.</w:t>
                                          </w:r>
                                          <w:r w:rsidRPr="00420C3C">
                                            <w:rPr>
                                              <w:rFonts w:ascii="Verdana" w:eastAsia="Times New Roman" w:hAnsi="Verdana" w:cs="Times New Roman"/>
                                              <w:color w:val="000000"/>
                                              <w:sz w:val="14"/>
                                              <w:szCs w:val="14"/>
                                            </w:rPr>
                                            <w:br/>
                                            <w:t>Продължават усилията за трайно разрешаване на проблемите в Русия, като ще ви информираме своевременно за развитието на ситуацията.</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800000"/>
                                              <w:sz w:val="14"/>
                                              <w:szCs w:val="14"/>
                                            </w:rPr>
                                            <w:t>Резюме на</w:t>
                                          </w:r>
                                          <w:r w:rsidRPr="00420C3C">
                                            <w:rPr>
                                              <w:rFonts w:ascii="Verdana" w:eastAsia="Times New Roman" w:hAnsi="Verdana" w:cs="Times New Roman"/>
                                              <w:color w:val="800000"/>
                                              <w:sz w:val="14"/>
                                            </w:rPr>
                                            <w:t> </w:t>
                                          </w:r>
                                          <w:r w:rsidRPr="00420C3C">
                                            <w:rPr>
                                              <w:rFonts w:ascii="Verdana" w:eastAsia="Times New Roman" w:hAnsi="Verdana" w:cs="Times New Roman"/>
                                              <w:b/>
                                              <w:bCs/>
                                              <w:color w:val="800000"/>
                                              <w:sz w:val="14"/>
                                            </w:rPr>
                                            <w:t>допълнителните препоръки, изготвени от ИРУ, към титулярите на карнети ТИР за защита на техните права във връзка с незаконните мерки, предприети от ФМС на РФ по отношение прилагането на Конвенцията ТИР на територията на Руската федерация</w:t>
                                          </w:r>
                                          <w:r w:rsidRPr="00420C3C">
                                            <w:rPr>
                                              <w:rFonts w:ascii="Verdana" w:eastAsia="Times New Roman" w:hAnsi="Verdana" w:cs="Times New Roman"/>
                                              <w:b/>
                                              <w:bCs/>
                                              <w:sz w:val="14"/>
                                            </w:rPr>
                                            <w:t>,</w:t>
                                          </w:r>
                                          <w:r w:rsidRPr="00420C3C">
                                            <w:rPr>
                                              <w:rFonts w:ascii="Verdana" w:eastAsia="Times New Roman" w:hAnsi="Verdana" w:cs="Times New Roman"/>
                                              <w:sz w:val="14"/>
                                            </w:rPr>
                                            <w:t> </w:t>
                                          </w:r>
                                          <w:r w:rsidRPr="00420C3C">
                                            <w:rPr>
                                              <w:rFonts w:ascii="Verdana" w:eastAsia="Times New Roman" w:hAnsi="Verdana" w:cs="Times New Roman"/>
                                              <w:sz w:val="14"/>
                                              <w:szCs w:val="14"/>
                                            </w:rPr>
                                            <w:t>можете да намерите в рубрика “Горещи новини” на ТРАНС-ИНФО.</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p w:rsidR="00420C3C" w:rsidRPr="00420C3C" w:rsidRDefault="00420C3C" w:rsidP="00420C3C">
                                          <w:pPr>
                                            <w:spacing w:after="0" w:line="163" w:lineRule="atLeast"/>
                                            <w:jc w:val="center"/>
                                            <w:rPr>
                                              <w:rFonts w:ascii="Times New Roman" w:eastAsia="Times New Roman" w:hAnsi="Times New Roman" w:cs="Times New Roman"/>
                                              <w:sz w:val="24"/>
                                              <w:szCs w:val="24"/>
                                            </w:rPr>
                                          </w:pPr>
                                          <w:r w:rsidRPr="00420C3C">
                                            <w:rPr>
                                              <w:rFonts w:ascii="Times New Roman" w:eastAsia="Times New Roman" w:hAnsi="Times New Roman" w:cs="Times New Roman"/>
                                              <w:b/>
                                              <w:bCs/>
                                              <w:color w:val="000000"/>
                                              <w:sz w:val="24"/>
                                              <w:szCs w:val="24"/>
                                            </w:rPr>
                                            <w:t>РУСКИ МИТНИЦИ</w:t>
                                          </w:r>
                                        </w:p>
                                        <w:p w:rsidR="00420C3C" w:rsidRPr="00420C3C" w:rsidRDefault="00420C3C" w:rsidP="00420C3C">
                                          <w:pPr>
                                            <w:spacing w:before="100" w:beforeAutospacing="1" w:after="100" w:afterAutospacing="1" w:line="163" w:lineRule="atLeast"/>
                                            <w:jc w:val="both"/>
                                            <w:rPr>
                                              <w:rFonts w:ascii="Verdana" w:eastAsia="Times New Roman" w:hAnsi="Verdana" w:cs="Times New Roman"/>
                                              <w:sz w:val="14"/>
                                              <w:szCs w:val="14"/>
                                            </w:rPr>
                                          </w:pPr>
                                          <w:r w:rsidRPr="00420C3C">
                                            <w:rPr>
                                              <w:rFonts w:ascii="Verdana" w:eastAsia="Times New Roman" w:hAnsi="Verdana" w:cs="Times New Roman"/>
                                              <w:color w:val="000000"/>
                                              <w:sz w:val="14"/>
                                              <w:szCs w:val="14"/>
                                            </w:rPr>
                                            <w:t>Съгласно информация, публикувана на сайта на Федералната митническа служба на Русия (ФМС на Русия) незаконни ограничения за гаранциите ТИР</w:t>
                                          </w:r>
                                          <w:proofErr w:type="gramStart"/>
                                          <w:r w:rsidRPr="00420C3C">
                                            <w:rPr>
                                              <w:rFonts w:ascii="Verdana" w:eastAsia="Times New Roman" w:hAnsi="Verdana" w:cs="Times New Roman"/>
                                              <w:color w:val="000000"/>
                                              <w:sz w:val="14"/>
                                              <w:szCs w:val="14"/>
                                            </w:rPr>
                                            <w:t>:</w:t>
                                          </w:r>
                                          <w:proofErr w:type="gramEnd"/>
                                          <w:r w:rsidRPr="00420C3C">
                                            <w:rPr>
                                              <w:rFonts w:ascii="Verdana" w:eastAsia="Times New Roman" w:hAnsi="Verdana" w:cs="Times New Roman"/>
                                              <w:color w:val="000000"/>
                                              <w:sz w:val="14"/>
                                              <w:szCs w:val="14"/>
                                            </w:rPr>
                                            <w:br/>
                                            <w:t>- се прилагат</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 12 ноември</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за митническите учреждения на подчинение на</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Централното митническо управление</w:t>
                                          </w:r>
                                          <w:r w:rsidRPr="00420C3C">
                                            <w:rPr>
                                              <w:rFonts w:ascii="Verdana" w:eastAsia="Times New Roman" w:hAnsi="Verdana" w:cs="Times New Roman"/>
                                              <w:color w:val="000000"/>
                                              <w:sz w:val="14"/>
                                              <w:szCs w:val="14"/>
                                            </w:rPr>
                                            <w:t>;</w:t>
                                          </w:r>
                                          <w:r w:rsidRPr="00420C3C">
                                            <w:rPr>
                                              <w:rFonts w:ascii="Verdana" w:eastAsia="Times New Roman" w:hAnsi="Verdana" w:cs="Times New Roman"/>
                                              <w:color w:val="000000"/>
                                              <w:sz w:val="14"/>
                                              <w:szCs w:val="14"/>
                                            </w:rPr>
                                            <w:br/>
                                            <w:t>- ще се въведат</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от 19 ноември</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за</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Псковската, Себежската и Кингисеппската митници</w:t>
                                          </w:r>
                                          <w:r w:rsidRPr="00420C3C">
                                            <w:rPr>
                                              <w:rFonts w:ascii="Verdana" w:eastAsia="Times New Roman" w:hAnsi="Verdana" w:cs="Times New Roman"/>
                                              <w:color w:val="000000"/>
                                              <w:sz w:val="14"/>
                                              <w:szCs w:val="14"/>
                                            </w:rPr>
                                            <w:t>, подчинени на Северозападното митническо управление.</w:t>
                                          </w:r>
                                          <w:r w:rsidRPr="00420C3C">
                                            <w:rPr>
                                              <w:rFonts w:ascii="Verdana" w:eastAsia="Times New Roman" w:hAnsi="Verdana" w:cs="Times New Roman"/>
                                              <w:color w:val="000000"/>
                                              <w:sz w:val="14"/>
                                              <w:szCs w:val="14"/>
                                            </w:rPr>
                                            <w:br/>
                                            <w:t>Предвижда се от</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1 декември 2013 г.</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неправомерните мерки за изискване на допълнително обезпечение на превозите ТИР да се прилагат</w:t>
                                          </w:r>
                                          <w:r w:rsidRPr="00420C3C">
                                            <w:rPr>
                                              <w:rFonts w:ascii="Verdana" w:eastAsia="Times New Roman" w:hAnsi="Verdana" w:cs="Times New Roman"/>
                                              <w:color w:val="000000"/>
                                              <w:sz w:val="14"/>
                                            </w:rPr>
                                            <w:t> </w:t>
                                          </w:r>
                                          <w:r w:rsidRPr="00420C3C">
                                            <w:rPr>
                                              <w:rFonts w:ascii="Verdana" w:eastAsia="Times New Roman" w:hAnsi="Verdana" w:cs="Times New Roman"/>
                                              <w:b/>
                                              <w:bCs/>
                                              <w:color w:val="000000"/>
                                              <w:sz w:val="14"/>
                                            </w:rPr>
                                            <w:t>в цяла Русия за стоки, които се внасят на територията на Митническия съюз (Русия, Беларус, Казахстан).</w:t>
                                          </w:r>
                                          <w:r w:rsidRPr="00420C3C">
                                            <w:rPr>
                                              <w:rFonts w:ascii="Verdana" w:eastAsia="Times New Roman" w:hAnsi="Verdana" w:cs="Times New Roman"/>
                                              <w:b/>
                                              <w:bCs/>
                                              <w:color w:val="000000"/>
                                              <w:sz w:val="14"/>
                                              <w:szCs w:val="14"/>
                                            </w:rPr>
                                            <w:br/>
                                          </w:r>
                                          <w:r w:rsidRPr="00420C3C">
                                            <w:rPr>
                                              <w:rFonts w:ascii="Verdana" w:eastAsia="Times New Roman" w:hAnsi="Verdana" w:cs="Times New Roman"/>
                                              <w:color w:val="000000"/>
                                              <w:sz w:val="14"/>
                                              <w:szCs w:val="14"/>
                                            </w:rPr>
                                            <w:t>Напомняме, че ИРУ настоятелно препоръчва всички превозвачи, пътуващи до, от и транзит Русия, да използват Препоръките за титулярите на карнети ТИР на ИРУ, в случай че обработката на карнети ТИР незаконно се отказва от някои руски митничари.</w:t>
                                          </w:r>
                                          <w:r w:rsidRPr="00420C3C">
                                            <w:rPr>
                                              <w:rFonts w:ascii="Verdana" w:eastAsia="Times New Roman" w:hAnsi="Verdana" w:cs="Times New Roman"/>
                                              <w:color w:val="000000"/>
                                              <w:sz w:val="14"/>
                                              <w:szCs w:val="14"/>
                                            </w:rPr>
                                            <w:br/>
                                            <w:t>***   ***   ***  </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br/>
                                            <w:t>По информация на Международния съюз за автомобилен транспорт</w:t>
                                          </w:r>
                                          <w:r w:rsidRPr="00420C3C">
                                            <w:rPr>
                                              <w:rFonts w:ascii="Verdana" w:eastAsia="Times New Roman" w:hAnsi="Verdana" w:cs="Times New Roman"/>
                                              <w:color w:val="800000"/>
                                              <w:sz w:val="14"/>
                                            </w:rPr>
                                            <w:t> </w:t>
                                          </w:r>
                                          <w:r w:rsidRPr="00420C3C">
                                            <w:rPr>
                                              <w:rFonts w:ascii="Verdana" w:eastAsia="Times New Roman" w:hAnsi="Verdana" w:cs="Times New Roman"/>
                                              <w:color w:val="000000"/>
                                              <w:sz w:val="14"/>
                                              <w:szCs w:val="14"/>
                                            </w:rPr>
                                            <w:t>към 28.10.2013 г.</w:t>
                                          </w:r>
                                          <w:r w:rsidRPr="00420C3C">
                                            <w:rPr>
                                              <w:rFonts w:ascii="Verdana" w:eastAsia="Times New Roman" w:hAnsi="Verdana" w:cs="Times New Roman"/>
                                              <w:color w:val="800000"/>
                                              <w:sz w:val="14"/>
                                            </w:rPr>
                                            <w:t> </w:t>
                                          </w:r>
                                          <w:r w:rsidRPr="00420C3C">
                                            <w:rPr>
                                              <w:rFonts w:ascii="Verdana" w:eastAsia="Times New Roman" w:hAnsi="Verdana" w:cs="Times New Roman"/>
                                              <w:b/>
                                              <w:bCs/>
                                              <w:color w:val="000000"/>
                                              <w:sz w:val="14"/>
                                            </w:rPr>
                                            <w:t>Федералната митническа служба на Руската федерация </w:t>
                                          </w:r>
                                          <w:r w:rsidRPr="00420C3C">
                                            <w:rPr>
                                              <w:rFonts w:ascii="Verdana" w:eastAsia="Times New Roman" w:hAnsi="Verdana" w:cs="Times New Roman"/>
                                              <w:color w:val="000000"/>
                                              <w:sz w:val="14"/>
                                              <w:szCs w:val="14"/>
                                            </w:rPr>
                                            <w:t>прилага</w:t>
                                          </w:r>
                                          <w:r w:rsidRPr="00420C3C">
                                            <w:rPr>
                                              <w:rFonts w:ascii="Verdana" w:eastAsia="Times New Roman" w:hAnsi="Verdana" w:cs="Times New Roman"/>
                                              <w:b/>
                                              <w:bCs/>
                                              <w:color w:val="000000"/>
                                              <w:sz w:val="14"/>
                                            </w:rPr>
                                            <w:t> мерките за допълнително обезпечение на превозите ТИР за</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митници Шереметиево, Домодедово и Внуково,</w:t>
                                          </w:r>
                                          <w:r w:rsidRPr="00420C3C">
                                            <w:rPr>
                                              <w:rFonts w:ascii="Verdana" w:eastAsia="Times New Roman" w:hAnsi="Verdana" w:cs="Times New Roman"/>
                                              <w:color w:val="800000"/>
                                              <w:sz w:val="14"/>
                                            </w:rPr>
                                            <w:t> </w:t>
                                          </w:r>
                                          <w:r w:rsidRPr="00420C3C">
                                            <w:rPr>
                                              <w:rFonts w:ascii="Verdana" w:eastAsia="Times New Roman" w:hAnsi="Verdana" w:cs="Times New Roman"/>
                                              <w:color w:val="800000"/>
                                              <w:sz w:val="14"/>
                                              <w:szCs w:val="14"/>
                                            </w:rPr>
                                            <w:t>както и за</w:t>
                                          </w:r>
                                          <w:r w:rsidRPr="00420C3C">
                                            <w:rPr>
                                              <w:rFonts w:ascii="Verdana" w:eastAsia="Times New Roman" w:hAnsi="Verdana" w:cs="Times New Roman"/>
                                              <w:b/>
                                              <w:bCs/>
                                              <w:color w:val="800000"/>
                                              <w:sz w:val="14"/>
                                            </w:rPr>
                                            <w:t> </w:t>
                                          </w:r>
                                          <w:r w:rsidRPr="00420C3C">
                                            <w:rPr>
                                              <w:rFonts w:ascii="Verdana" w:eastAsia="Times New Roman" w:hAnsi="Verdana" w:cs="Times New Roman"/>
                                              <w:color w:val="000000"/>
                                              <w:sz w:val="14"/>
                                              <w:szCs w:val="14"/>
                                            </w:rPr>
                                            <w:t>митническите учреждения, които са на подчинение</w:t>
                                          </w:r>
                                          <w:r w:rsidRPr="00420C3C">
                                            <w:rPr>
                                              <w:rFonts w:ascii="Verdana" w:eastAsia="Times New Roman" w:hAnsi="Verdana" w:cs="Times New Roman"/>
                                              <w:color w:val="800000"/>
                                              <w:sz w:val="14"/>
                                            </w:rPr>
                                            <w:t> </w:t>
                                          </w:r>
                                          <w:r w:rsidRPr="00420C3C">
                                            <w:rPr>
                                              <w:rFonts w:ascii="Verdana" w:eastAsia="Times New Roman" w:hAnsi="Verdana" w:cs="Times New Roman"/>
                                              <w:color w:val="000000"/>
                                              <w:sz w:val="14"/>
                                              <w:szCs w:val="14"/>
                                            </w:rPr>
                                            <w:t>на:</w:t>
                                          </w:r>
                                          <w:r w:rsidRPr="00420C3C">
                                            <w:rPr>
                                              <w:rFonts w:ascii="Verdana" w:eastAsia="Times New Roman" w:hAnsi="Verdana" w:cs="Times New Roman"/>
                                              <w:color w:val="000000"/>
                                              <w:sz w:val="14"/>
                                              <w:szCs w:val="14"/>
                                            </w:rPr>
                                            <w:br/>
                                            <w:t>-</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Северно-Кавказкото митническо управление;</w:t>
                                          </w:r>
                                          <w:r w:rsidRPr="00420C3C">
                                            <w:rPr>
                                              <w:rFonts w:ascii="Verdana" w:eastAsia="Times New Roman" w:hAnsi="Verdana" w:cs="Times New Roman"/>
                                              <w:b/>
                                              <w:bCs/>
                                              <w:color w:val="800000"/>
                                              <w:sz w:val="14"/>
                                              <w:szCs w:val="14"/>
                                            </w:rPr>
                                            <w:br/>
                                          </w:r>
                                          <w:r w:rsidRPr="00420C3C">
                                            <w:rPr>
                                              <w:rFonts w:ascii="Verdana" w:eastAsia="Times New Roman" w:hAnsi="Verdana" w:cs="Times New Roman"/>
                                              <w:color w:val="000000"/>
                                              <w:sz w:val="14"/>
                                              <w:szCs w:val="14"/>
                                            </w:rPr>
                                            <w:t>-</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Южното митническо управление</w:t>
                                          </w:r>
                                          <w:r w:rsidRPr="00420C3C">
                                            <w:rPr>
                                              <w:rFonts w:ascii="Verdana" w:eastAsia="Times New Roman" w:hAnsi="Verdana" w:cs="Times New Roman"/>
                                              <w:color w:val="000000"/>
                                              <w:sz w:val="14"/>
                                              <w:szCs w:val="14"/>
                                            </w:rPr>
                                            <w:t>;</w:t>
                                          </w:r>
                                          <w:r w:rsidRPr="00420C3C">
                                            <w:rPr>
                                              <w:rFonts w:ascii="Verdana" w:eastAsia="Times New Roman" w:hAnsi="Verdana" w:cs="Times New Roman"/>
                                              <w:color w:val="000000"/>
                                              <w:sz w:val="14"/>
                                              <w:szCs w:val="14"/>
                                            </w:rPr>
                                            <w:br/>
                                          </w:r>
                                          <w:r w:rsidRPr="00420C3C">
                                            <w:rPr>
                                              <w:rFonts w:ascii="Verdana" w:eastAsia="Times New Roman" w:hAnsi="Verdana" w:cs="Times New Roman"/>
                                              <w:color w:val="000000"/>
                                              <w:sz w:val="14"/>
                                              <w:szCs w:val="14"/>
                                            </w:rPr>
                                            <w:lastRenderedPageBreak/>
                                            <w:t>-</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Приволжския митнически регион</w:t>
                                          </w:r>
                                          <w:r w:rsidRPr="00420C3C">
                                            <w:rPr>
                                              <w:rFonts w:ascii="Verdana" w:eastAsia="Times New Roman" w:hAnsi="Verdana" w:cs="Times New Roman"/>
                                              <w:color w:val="000000"/>
                                              <w:sz w:val="14"/>
                                            </w:rPr>
                                            <w:t> </w:t>
                                          </w:r>
                                          <w:r w:rsidRPr="00420C3C">
                                            <w:rPr>
                                              <w:rFonts w:ascii="Verdana" w:eastAsia="Times New Roman" w:hAnsi="Verdana" w:cs="Times New Roman"/>
                                              <w:color w:val="000000"/>
                                              <w:sz w:val="14"/>
                                              <w:szCs w:val="14"/>
                                            </w:rPr>
                                            <w:t>(към който се отнасят регионалните митнически учреждения Башкортостан, Нижегород, Оренбург, Перм, Самара, Саратов, Татарстан, Уляновск и Приволжска оперативна;</w:t>
                                          </w:r>
                                          <w:r w:rsidRPr="00420C3C">
                                            <w:rPr>
                                              <w:rFonts w:ascii="Verdana" w:eastAsia="Times New Roman" w:hAnsi="Verdana" w:cs="Times New Roman"/>
                                              <w:color w:val="000000"/>
                                              <w:sz w:val="14"/>
                                              <w:szCs w:val="14"/>
                                            </w:rPr>
                                            <w:br/>
                                            <w:t>-</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Уралската митница</w:t>
                                          </w:r>
                                          <w:r w:rsidRPr="00420C3C">
                                            <w:rPr>
                                              <w:rFonts w:ascii="Verdana" w:eastAsia="Times New Roman" w:hAnsi="Verdana" w:cs="Times New Roman"/>
                                              <w:color w:val="800000"/>
                                              <w:sz w:val="14"/>
                                            </w:rPr>
                                            <w:t> </w:t>
                                          </w:r>
                                          <w:r w:rsidRPr="00420C3C">
                                            <w:rPr>
                                              <w:rFonts w:ascii="Verdana" w:eastAsia="Times New Roman" w:hAnsi="Verdana" w:cs="Times New Roman"/>
                                              <w:color w:val="000000"/>
                                              <w:sz w:val="14"/>
                                              <w:szCs w:val="14"/>
                                            </w:rPr>
                                            <w:t>(към която се отнасят регионалните митнически учреждения Челябинск, Ханти-Мамсийск, Колцово, Магнитогорск, Тюмен, Уралска оперативна, Ямало-Ненец и Екатеринбург);</w:t>
                                          </w:r>
                                          <w:r w:rsidRPr="00420C3C">
                                            <w:rPr>
                                              <w:rFonts w:ascii="Verdana" w:eastAsia="Times New Roman" w:hAnsi="Verdana" w:cs="Times New Roman"/>
                                              <w:color w:val="000000"/>
                                              <w:sz w:val="14"/>
                                              <w:szCs w:val="14"/>
                                            </w:rPr>
                                            <w:br/>
                                            <w:t>-</w:t>
                                          </w:r>
                                          <w:r w:rsidRPr="00420C3C">
                                            <w:rPr>
                                              <w:rFonts w:ascii="Verdana" w:eastAsia="Times New Roman" w:hAnsi="Verdana" w:cs="Times New Roman"/>
                                              <w:color w:val="000000"/>
                                              <w:sz w:val="14"/>
                                            </w:rPr>
                                            <w:t> </w:t>
                                          </w:r>
                                          <w:r w:rsidRPr="00420C3C">
                                            <w:rPr>
                                              <w:rFonts w:ascii="Verdana" w:eastAsia="Times New Roman" w:hAnsi="Verdana" w:cs="Times New Roman"/>
                                              <w:b/>
                                              <w:bCs/>
                                              <w:color w:val="800000"/>
                                              <w:sz w:val="14"/>
                                            </w:rPr>
                                            <w:t>Сибирската и Далекоизточната митници</w:t>
                                          </w:r>
                                          <w:r w:rsidRPr="00420C3C">
                                            <w:rPr>
                                              <w:rFonts w:ascii="Verdana" w:eastAsia="Times New Roman" w:hAnsi="Verdana" w:cs="Times New Roman"/>
                                              <w:color w:val="800000"/>
                                              <w:sz w:val="14"/>
                                              <w:szCs w:val="14"/>
                                            </w:rPr>
                                            <w:t>.</w:t>
                                          </w:r>
                                          <w:r w:rsidRPr="00420C3C">
                                            <w:rPr>
                                              <w:rFonts w:ascii="Verdana" w:eastAsia="Times New Roman" w:hAnsi="Verdana" w:cs="Times New Roman"/>
                                              <w:color w:val="800000"/>
                                              <w:sz w:val="14"/>
                                              <w:szCs w:val="14"/>
                                            </w:rPr>
                                            <w:br/>
                                          </w:r>
                                          <w:r w:rsidRPr="00420C3C">
                                            <w:rPr>
                                              <w:rFonts w:ascii="Verdana" w:eastAsia="Times New Roman" w:hAnsi="Verdana" w:cs="Times New Roman"/>
                                              <w:color w:val="000000"/>
                                              <w:sz w:val="14"/>
                                              <w:szCs w:val="14"/>
                                            </w:rPr>
                                            <w:t>При проблеми с използването на карнети ТИР при превози от, до и през територията на РФ, ИРУ съветва титулярите на карнети ТИР да използват публикуваните препоръки.</w:t>
                                          </w:r>
                                          <w:r w:rsidRPr="00420C3C">
                                            <w:rPr>
                                              <w:rFonts w:ascii="Verdana" w:eastAsia="Times New Roman" w:hAnsi="Verdana" w:cs="Times New Roman"/>
                                              <w:color w:val="000000"/>
                                              <w:sz w:val="14"/>
                                              <w:szCs w:val="14"/>
                                            </w:rPr>
                                            <w:br/>
                                            <w:t>Телефон на горещата линия на ИРУ: +41 22 918 20 58 (английски, руски и френски)</w:t>
                                          </w:r>
                                          <w:r w:rsidRPr="00420C3C">
                                            <w:rPr>
                                              <w:rFonts w:ascii="Verdana" w:eastAsia="Times New Roman" w:hAnsi="Verdana" w:cs="Times New Roman"/>
                                              <w:color w:val="000000"/>
                                              <w:sz w:val="14"/>
                                              <w:szCs w:val="14"/>
                                            </w:rPr>
                                            <w:br/>
                                            <w:t>Е-mail на горещата линия:                </w:t>
                                          </w:r>
                                          <w:r w:rsidRPr="00420C3C">
                                            <w:rPr>
                                              <w:rFonts w:ascii="Verdana" w:eastAsia="Times New Roman" w:hAnsi="Verdana" w:cs="Times New Roman"/>
                                              <w:color w:val="000000"/>
                                              <w:sz w:val="14"/>
                                            </w:rPr>
                                            <w:t> </w:t>
                                          </w:r>
                                          <w:hyperlink r:id="rId20" w:history="1">
                                            <w:r w:rsidRPr="00420C3C">
                                              <w:rPr>
                                                <w:rFonts w:ascii="Verdana" w:eastAsia="Times New Roman" w:hAnsi="Verdana" w:cs="Times New Roman"/>
                                                <w:color w:val="393939"/>
                                                <w:sz w:val="14"/>
                                                <w:u w:val="single"/>
                                              </w:rPr>
                                              <w:t>hotline@iru.org</w:t>
                                            </w:r>
                                          </w:hyperlink>
                                          <w:r w:rsidRPr="00420C3C">
                                            <w:rPr>
                                              <w:rFonts w:ascii="Verdana" w:eastAsia="Times New Roman" w:hAnsi="Verdana" w:cs="Times New Roman"/>
                                              <w:sz w:val="14"/>
                                              <w:szCs w:val="14"/>
                                            </w:rPr>
                                            <w:br/>
                                            <w:t>***   ***   ***  </w:t>
                                          </w:r>
                                          <w:r w:rsidRPr="00420C3C">
                                            <w:rPr>
                                              <w:rFonts w:ascii="Verdana" w:eastAsia="Times New Roman" w:hAnsi="Verdana" w:cs="Times New Roman"/>
                                              <w:sz w:val="14"/>
                                            </w:rPr>
                                            <w:t> </w:t>
                                          </w:r>
                                          <w:r w:rsidRPr="00420C3C">
                                            <w:rPr>
                                              <w:rFonts w:ascii="Verdana" w:eastAsia="Times New Roman" w:hAnsi="Verdana" w:cs="Times New Roman"/>
                                              <w:sz w:val="14"/>
                                              <w:szCs w:val="14"/>
                                            </w:rPr>
                                            <w:br/>
                                          </w:r>
                                          <w:r w:rsidRPr="00420C3C">
                                            <w:rPr>
                                              <w:rFonts w:ascii="Verdana" w:eastAsia="Times New Roman" w:hAnsi="Verdana" w:cs="Times New Roman"/>
                                              <w:b/>
                                              <w:bCs/>
                                              <w:sz w:val="14"/>
                                            </w:rPr>
                                            <w:t>Препоръки за титулярите на карнети ТИР на ИРУ</w:t>
                                          </w:r>
                                          <w:r w:rsidRPr="00420C3C">
                                            <w:rPr>
                                              <w:rFonts w:ascii="Verdana" w:eastAsia="Times New Roman" w:hAnsi="Verdana" w:cs="Times New Roman"/>
                                              <w:sz w:val="14"/>
                                              <w:szCs w:val="14"/>
                                            </w:rPr>
                                            <w:t> относно възможното прилагане на Решение № 01-11/28474 от 4 юли 2013 г. на Федералната митническа служба на Руската федерация (ФМС на РФ), налагащо предоставянето на допълнителни гаранции при превози под покритието на карнети ТИР</w:t>
                                          </w:r>
                                          <w:r w:rsidRPr="00420C3C">
                                            <w:rPr>
                                              <w:rFonts w:ascii="Verdana" w:eastAsia="Times New Roman" w:hAnsi="Verdana" w:cs="Times New Roman"/>
                                              <w:sz w:val="14"/>
                                              <w:szCs w:val="14"/>
                                            </w:rPr>
                                            <w:br/>
                                            <w:t>-</w:t>
                                          </w:r>
                                          <w:r w:rsidRPr="00420C3C">
                                            <w:rPr>
                                              <w:rFonts w:ascii="Verdana" w:eastAsia="Times New Roman" w:hAnsi="Verdana" w:cs="Times New Roman"/>
                                              <w:sz w:val="14"/>
                                            </w:rPr>
                                            <w:t> </w:t>
                                          </w:r>
                                          <w:hyperlink r:id="rId21" w:tgtFrame="blank" w:history="1">
                                            <w:r w:rsidRPr="00420C3C">
                                              <w:rPr>
                                                <w:rFonts w:ascii="Verdana" w:eastAsia="Times New Roman" w:hAnsi="Verdana" w:cs="Times New Roman"/>
                                                <w:color w:val="393939"/>
                                                <w:sz w:val="14"/>
                                                <w:u w:val="single"/>
                                              </w:rPr>
                                              <w:t>Препоръки</w:t>
                                            </w:r>
                                          </w:hyperlink>
                                          <w:r w:rsidRPr="00420C3C">
                                            <w:rPr>
                                              <w:rFonts w:ascii="Verdana" w:eastAsia="Times New Roman" w:hAnsi="Verdana" w:cs="Times New Roman"/>
                                              <w:sz w:val="14"/>
                                              <w:szCs w:val="14"/>
                                            </w:rPr>
                                            <w:br/>
                                            <w:t>-</w:t>
                                          </w:r>
                                          <w:r w:rsidRPr="00420C3C">
                                            <w:rPr>
                                              <w:rFonts w:ascii="Verdana" w:eastAsia="Times New Roman" w:hAnsi="Verdana" w:cs="Times New Roman"/>
                                              <w:sz w:val="14"/>
                                            </w:rPr>
                                            <w:t> </w:t>
                                          </w:r>
                                          <w:hyperlink r:id="rId22" w:tgtFrame="blank" w:history="1">
                                            <w:r w:rsidRPr="00420C3C">
                                              <w:rPr>
                                                <w:rFonts w:ascii="Verdana" w:eastAsia="Times New Roman" w:hAnsi="Verdana" w:cs="Times New Roman"/>
                                                <w:color w:val="393939"/>
                                                <w:sz w:val="14"/>
                                                <w:u w:val="single"/>
                                              </w:rPr>
                                              <w:t>Образец на заявление</w:t>
                                            </w:r>
                                          </w:hyperlink>
                                          <w:r w:rsidRPr="00420C3C">
                                            <w:rPr>
                                              <w:rFonts w:ascii="Verdana" w:eastAsia="Times New Roman" w:hAnsi="Verdana" w:cs="Times New Roman"/>
                                              <w:sz w:val="14"/>
                                              <w:szCs w:val="14"/>
                                            </w:rPr>
                                            <w:br/>
                                          </w:r>
                                          <w:r w:rsidRPr="00420C3C">
                                            <w:rPr>
                                              <w:rFonts w:ascii="Verdana" w:eastAsia="Times New Roman" w:hAnsi="Verdana" w:cs="Times New Roman"/>
                                              <w:sz w:val="14"/>
                                              <w:szCs w:val="14"/>
                                            </w:rPr>
                                            <w:br/>
                                            <w:t>***   ***   ***  </w:t>
                                          </w:r>
                                          <w:r w:rsidRPr="00420C3C">
                                            <w:rPr>
                                              <w:rFonts w:ascii="Verdana" w:eastAsia="Times New Roman" w:hAnsi="Verdana" w:cs="Times New Roman"/>
                                              <w:sz w:val="14"/>
                                            </w:rPr>
                                            <w:t> </w:t>
                                          </w:r>
                                          <w:hyperlink r:id="rId23" w:tgtFrame="blank" w:history="1">
                                            <w:r w:rsidRPr="00420C3C">
                                              <w:rPr>
                                                <w:rFonts w:ascii="Verdana" w:eastAsia="Times New Roman" w:hAnsi="Verdana" w:cs="Times New Roman"/>
                                                <w:color w:val="393939"/>
                                                <w:sz w:val="14"/>
                                                <w:szCs w:val="14"/>
                                                <w:u w:val="single"/>
                                              </w:rPr>
                                              <w:br/>
                                            </w:r>
                                            <w:r w:rsidRPr="00420C3C">
                                              <w:rPr>
                                                <w:rFonts w:ascii="Verdana" w:eastAsia="Times New Roman" w:hAnsi="Verdana" w:cs="Times New Roman"/>
                                                <w:b/>
                                                <w:bCs/>
                                                <w:color w:val="393939"/>
                                                <w:sz w:val="14"/>
                                                <w:u w:val="single"/>
                                              </w:rPr>
                                              <w:t>Допълнително обезпечение при превози под покритието на карнети ТИР в Русия</w:t>
                                            </w:r>
                                          </w:hyperlink>
                                          <w:r w:rsidRPr="00420C3C">
                                            <w:rPr>
                                              <w:rFonts w:ascii="Verdana" w:eastAsia="Times New Roman" w:hAnsi="Verdana" w:cs="Times New Roman"/>
                                              <w:b/>
                                              <w:bCs/>
                                              <w:sz w:val="14"/>
                                              <w:szCs w:val="14"/>
                                            </w:rPr>
                                            <w:br/>
                                          </w:r>
                                          <w:r w:rsidRPr="00420C3C">
                                            <w:rPr>
                                              <w:rFonts w:ascii="Verdana" w:eastAsia="Times New Roman" w:hAnsi="Verdana" w:cs="Times New Roman"/>
                                              <w:b/>
                                              <w:bCs/>
                                              <w:sz w:val="14"/>
                                            </w:rPr>
                                            <w:t>                             </w:t>
                                          </w:r>
                                        </w:p>
                                      </w:tc>
                                    </w:tr>
                                  </w:tbl>
                                  <w:p w:rsidR="00420C3C" w:rsidRPr="00420C3C" w:rsidRDefault="00420C3C" w:rsidP="00420C3C">
                                    <w:pPr>
                                      <w:spacing w:after="0" w:line="275" w:lineRule="atLeast"/>
                                      <w:jc w:val="both"/>
                                      <w:textAlignment w:val="top"/>
                                      <w:rPr>
                                        <w:rFonts w:ascii="Verdana" w:eastAsia="Times New Roman" w:hAnsi="Verdana" w:cs="Times New Roman"/>
                                        <w:color w:val="393939"/>
                                        <w:sz w:val="14"/>
                                        <w:szCs w:val="1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c>
                            <w:tcPr>
                              <w:tcW w:w="240" w:type="dxa"/>
                              <w:shd w:val="clear" w:color="auto" w:fill="000000"/>
                              <w:hideMark/>
                            </w:tcPr>
                            <w:tbl>
                              <w:tblPr>
                                <w:tblW w:w="5000" w:type="pct"/>
                                <w:tblCellSpacing w:w="0" w:type="dxa"/>
                                <w:tblCellMar>
                                  <w:left w:w="0" w:type="dxa"/>
                                  <w:right w:w="0" w:type="dxa"/>
                                </w:tblCellMar>
                                <w:tblLook w:val="04A0"/>
                              </w:tblPr>
                              <w:tblGrid>
                                <w:gridCol w:w="6"/>
                              </w:tblGrid>
                              <w:tr w:rsidR="00420C3C" w:rsidRPr="00420C3C">
                                <w:trPr>
                                  <w:tblCellSpacing w:w="0" w:type="dxa"/>
                                </w:trPr>
                                <w:tc>
                                  <w:tcPr>
                                    <w:tcW w:w="0" w:type="auto"/>
                                    <w:hideMark/>
                                  </w:tcPr>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c>
                      <w:tcPr>
                        <w:tcW w:w="2500" w:type="pct"/>
                        <w:shd w:val="clear" w:color="auto" w:fill="888888"/>
                        <w:hideMark/>
                      </w:tcPr>
                      <w:tbl>
                        <w:tblPr>
                          <w:tblW w:w="5000" w:type="pct"/>
                          <w:tblCellSpacing w:w="0" w:type="dxa"/>
                          <w:tblCellMar>
                            <w:left w:w="0" w:type="dxa"/>
                            <w:right w:w="0" w:type="dxa"/>
                          </w:tblCellMar>
                          <w:tblLook w:val="04A0"/>
                        </w:tblPr>
                        <w:tblGrid>
                          <w:gridCol w:w="6"/>
                        </w:tblGrid>
                        <w:tr w:rsidR="00420C3C" w:rsidRPr="00420C3C">
                          <w:trPr>
                            <w:tblCellSpacing w:w="0" w:type="dxa"/>
                          </w:trPr>
                          <w:tc>
                            <w:tcPr>
                              <w:tcW w:w="0" w:type="auto"/>
                              <w:hideMark/>
                            </w:tcPr>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r>
                </w:tbl>
                <w:p w:rsidR="00420C3C" w:rsidRPr="00420C3C" w:rsidRDefault="00420C3C" w:rsidP="00420C3C">
                  <w:pPr>
                    <w:spacing w:after="0" w:line="240" w:lineRule="auto"/>
                    <w:jc w:val="center"/>
                    <w:rPr>
                      <w:rFonts w:ascii="Times New Roman" w:eastAsia="Times New Roman" w:hAnsi="Times New Roman" w:cs="Times New Roman"/>
                      <w:sz w:val="24"/>
                      <w:szCs w:val="24"/>
                    </w:rPr>
                  </w:pPr>
                </w:p>
              </w:tc>
            </w:tr>
            <w:tr w:rsidR="00420C3C" w:rsidRPr="00420C3C">
              <w:trPr>
                <w:tblCellSpacing w:w="0" w:type="dxa"/>
              </w:trPr>
              <w:tc>
                <w:tcPr>
                  <w:tcW w:w="6" w:type="dxa"/>
                  <w:shd w:val="clear" w:color="auto" w:fill="888888"/>
                  <w:hideMark/>
                </w:tcPr>
                <w:tbl>
                  <w:tblPr>
                    <w:tblW w:w="5000" w:type="pct"/>
                    <w:jc w:val="center"/>
                    <w:tblCellSpacing w:w="0" w:type="dxa"/>
                    <w:tblCellMar>
                      <w:left w:w="0" w:type="dxa"/>
                      <w:right w:w="0" w:type="dxa"/>
                    </w:tblCellMar>
                    <w:tblLook w:val="04A0"/>
                  </w:tblPr>
                  <w:tblGrid>
                    <w:gridCol w:w="49"/>
                    <w:gridCol w:w="9308"/>
                    <w:gridCol w:w="49"/>
                  </w:tblGrid>
                  <w:tr w:rsidR="00420C3C" w:rsidRPr="00420C3C">
                    <w:trPr>
                      <w:tblCellSpacing w:w="0" w:type="dxa"/>
                      <w:jc w:val="center"/>
                    </w:trPr>
                    <w:tc>
                      <w:tcPr>
                        <w:tcW w:w="2500" w:type="pct"/>
                        <w:shd w:val="clear" w:color="auto" w:fill="888888"/>
                        <w:hideMark/>
                      </w:tcPr>
                      <w:tbl>
                        <w:tblPr>
                          <w:tblW w:w="5000" w:type="pct"/>
                          <w:tblCellSpacing w:w="0" w:type="dxa"/>
                          <w:tblCellMar>
                            <w:left w:w="0" w:type="dxa"/>
                            <w:right w:w="0" w:type="dxa"/>
                          </w:tblCellMar>
                          <w:tblLook w:val="04A0"/>
                        </w:tblPr>
                        <w:tblGrid>
                          <w:gridCol w:w="49"/>
                        </w:tblGrid>
                        <w:tr w:rsidR="00420C3C" w:rsidRPr="00420C3C">
                          <w:trPr>
                            <w:tblCellSpacing w:w="0" w:type="dxa"/>
                          </w:trPr>
                          <w:tc>
                            <w:tcPr>
                              <w:tcW w:w="0" w:type="auto"/>
                              <w:hideMark/>
                            </w:tcPr>
                            <w:tbl>
                              <w:tblPr>
                                <w:tblW w:w="5000" w:type="pct"/>
                                <w:tblCellSpacing w:w="0" w:type="dxa"/>
                                <w:tblCellMar>
                                  <w:left w:w="0" w:type="dxa"/>
                                  <w:right w:w="0" w:type="dxa"/>
                                </w:tblCellMar>
                                <w:tblLook w:val="04A0"/>
                              </w:tblPr>
                              <w:tblGrid>
                                <w:gridCol w:w="49"/>
                              </w:tblGrid>
                              <w:tr w:rsidR="00420C3C" w:rsidRPr="00420C3C">
                                <w:trPr>
                                  <w:trHeight w:val="1245"/>
                                  <w:tblCellSpacing w:w="0" w:type="dxa"/>
                                </w:trPr>
                                <w:tc>
                                  <w:tcPr>
                                    <w:tcW w:w="0" w:type="auto"/>
                                    <w:tcBorders>
                                      <w:top w:val="single" w:sz="4" w:space="0" w:color="909090"/>
                                    </w:tcBorders>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lastRenderedPageBreak/>
                                      <w:t> </w:t>
                                    </w: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c>
                      <w:tcPr>
                        <w:tcW w:w="11400" w:type="dxa"/>
                        <w:shd w:val="clear" w:color="auto" w:fill="FFFFFF"/>
                        <w:hideMark/>
                      </w:tcPr>
                      <w:tbl>
                        <w:tblPr>
                          <w:tblW w:w="5000" w:type="pct"/>
                          <w:tblCellSpacing w:w="0" w:type="dxa"/>
                          <w:tblCellMar>
                            <w:left w:w="0" w:type="dxa"/>
                            <w:right w:w="0" w:type="dxa"/>
                          </w:tblCellMar>
                          <w:tblLook w:val="04A0"/>
                        </w:tblPr>
                        <w:tblGrid>
                          <w:gridCol w:w="9308"/>
                        </w:tblGrid>
                        <w:tr w:rsidR="00420C3C" w:rsidRPr="00420C3C">
                          <w:trPr>
                            <w:tblCellSpacing w:w="0" w:type="dxa"/>
                          </w:trPr>
                          <w:tc>
                            <w:tcPr>
                              <w:tcW w:w="0" w:type="auto"/>
                              <w:hideMark/>
                            </w:tcPr>
                            <w:tbl>
                              <w:tblPr>
                                <w:tblW w:w="11400" w:type="dxa"/>
                                <w:tblCellSpacing w:w="0" w:type="dxa"/>
                                <w:tblCellMar>
                                  <w:left w:w="0" w:type="dxa"/>
                                  <w:right w:w="0" w:type="dxa"/>
                                </w:tblCellMar>
                                <w:tblLook w:val="04A0"/>
                              </w:tblPr>
                              <w:tblGrid>
                                <w:gridCol w:w="3600"/>
                                <w:gridCol w:w="7540"/>
                                <w:gridCol w:w="260"/>
                              </w:tblGrid>
                              <w:tr w:rsidR="00420C3C" w:rsidRPr="00420C3C">
                                <w:trPr>
                                  <w:trHeight w:val="1245"/>
                                  <w:tblCellSpacing w:w="0" w:type="dxa"/>
                                </w:trPr>
                                <w:tc>
                                  <w:tcPr>
                                    <w:tcW w:w="357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66315" cy="787400"/>
                                          <wp:effectExtent l="19050" t="0" r="635" b="0"/>
                                          <wp:docPr id="7" name="Picture 7" descr="http://aebtri.com/img/small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ebtri.com/img/smallpic.jpg"/>
                                                  <pic:cNvPicPr>
                                                    <a:picLocks noChangeAspect="1" noChangeArrowheads="1"/>
                                                  </pic:cNvPicPr>
                                                </pic:nvPicPr>
                                                <pic:blipFill>
                                                  <a:blip r:embed="rId24" cstate="print"/>
                                                  <a:srcRect/>
                                                  <a:stretch>
                                                    <a:fillRect/>
                                                  </a:stretch>
                                                </pic:blipFill>
                                                <pic:spPr bwMode="auto">
                                                  <a:xfrm>
                                                    <a:off x="0" y="0"/>
                                                    <a:ext cx="2266315" cy="787400"/>
                                                  </a:xfrm>
                                                  <a:prstGeom prst="rect">
                                                    <a:avLst/>
                                                  </a:prstGeom>
                                                  <a:noFill/>
                                                  <a:ln w="9525">
                                                    <a:noFill/>
                                                    <a:miter lim="800000"/>
                                                    <a:headEnd/>
                                                    <a:tailEnd/>
                                                  </a:ln>
                                                </pic:spPr>
                                              </pic:pic>
                                            </a:graphicData>
                                          </a:graphic>
                                        </wp:inline>
                                      </w:drawing>
                                    </w:r>
                                  </w:p>
                                </w:tc>
                                <w:tc>
                                  <w:tcPr>
                                    <w:tcW w:w="7605" w:type="dxa"/>
                                    <w:vAlign w:val="center"/>
                                    <w:hideMark/>
                                  </w:tcPr>
                                  <w:tbl>
                                    <w:tblPr>
                                      <w:tblW w:w="0" w:type="auto"/>
                                      <w:tblCellSpacing w:w="0" w:type="dxa"/>
                                      <w:tblBorders>
                                        <w:bottom w:val="single" w:sz="4" w:space="0" w:color="909090"/>
                                        <w:right w:val="single" w:sz="4" w:space="0" w:color="909090"/>
                                      </w:tblBorders>
                                      <w:tblCellMar>
                                        <w:left w:w="0" w:type="dxa"/>
                                        <w:right w:w="0" w:type="dxa"/>
                                      </w:tblCellMar>
                                      <w:tblLook w:val="04A0"/>
                                    </w:tblPr>
                                    <w:tblGrid>
                                      <w:gridCol w:w="7535"/>
                                    </w:tblGrid>
                                    <w:tr w:rsidR="00420C3C" w:rsidRPr="00420C3C">
                                      <w:trPr>
                                        <w:tblCellSpacing w:w="0" w:type="dxa"/>
                                      </w:trPr>
                                      <w:tc>
                                        <w:tcPr>
                                          <w:tcW w:w="7605" w:type="dxa"/>
                                          <w:shd w:val="clear" w:color="auto" w:fill="55698D"/>
                                          <w:vAlign w:val="center"/>
                                          <w:hideMark/>
                                        </w:tcPr>
                                        <w:tbl>
                                          <w:tblPr>
                                            <w:tblW w:w="0" w:type="auto"/>
                                            <w:tblCellSpacing w:w="0" w:type="dxa"/>
                                            <w:tblCellMar>
                                              <w:left w:w="0" w:type="dxa"/>
                                              <w:right w:w="0" w:type="dxa"/>
                                            </w:tblCellMar>
                                            <w:tblLook w:val="04A0"/>
                                          </w:tblPr>
                                          <w:tblGrid>
                                            <w:gridCol w:w="300"/>
                                            <w:gridCol w:w="1725"/>
                                            <w:gridCol w:w="1950"/>
                                            <w:gridCol w:w="569"/>
                                            <w:gridCol w:w="150"/>
                                            <w:gridCol w:w="1650"/>
                                            <w:gridCol w:w="75"/>
                                            <w:gridCol w:w="255"/>
                                          </w:tblGrid>
                                          <w:tr w:rsidR="00420C3C" w:rsidRPr="00420C3C">
                                            <w:trPr>
                                              <w:tblCellSpacing w:w="0" w:type="dxa"/>
                                            </w:trPr>
                                            <w:tc>
                                              <w:tcPr>
                                                <w:tcW w:w="30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0" w:type="auto"/>
                                                <w:vAlign w:val="center"/>
                                                <w:hideMark/>
                                              </w:tcPr>
                                              <w:tbl>
                                                <w:tblPr>
                                                  <w:tblW w:w="0" w:type="auto"/>
                                                  <w:tblCellSpacing w:w="0" w:type="dxa"/>
                                                  <w:tblCellMar>
                                                    <w:left w:w="0" w:type="dxa"/>
                                                    <w:right w:w="0" w:type="dxa"/>
                                                  </w:tblCellMar>
                                                  <w:tblLook w:val="04A0"/>
                                                </w:tblPr>
                                                <w:tblGrid>
                                                  <w:gridCol w:w="150"/>
                                                  <w:gridCol w:w="819"/>
                                                  <w:gridCol w:w="150"/>
                                                  <w:gridCol w:w="606"/>
                                                </w:tblGrid>
                                                <w:tr w:rsidR="00420C3C" w:rsidRPr="00420C3C">
                                                  <w:trPr>
                                                    <w:tblCellSpacing w:w="0" w:type="dxa"/>
                                                  </w:trPr>
                                                  <w:tc>
                                                    <w:tcPr>
                                                      <w:tcW w:w="1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0" w:type="auto"/>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501015" cy="230505"/>
                                                            <wp:effectExtent l="19050" t="0" r="0" b="0"/>
                                                            <wp:docPr id="8" name="Picture 8" descr="IRU websit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RU website">
                                                                      <a:hlinkClick r:id="rId25" tgtFrame="&quot;_blank&quot;"/>
                                                                    </pic:cNvPr>
                                                                    <pic:cNvPicPr>
                                                                      <a:picLocks noChangeAspect="1" noChangeArrowheads="1"/>
                                                                    </pic:cNvPicPr>
                                                                  </pic:nvPicPr>
                                                                  <pic:blipFill>
                                                                    <a:blip r:embed="rId26" cstate="print"/>
                                                                    <a:srcRect/>
                                                                    <a:stretch>
                                                                      <a:fillRect/>
                                                                    </a:stretch>
                                                                  </pic:blipFill>
                                                                  <pic:spPr bwMode="auto">
                                                                    <a:xfrm>
                                                                      <a:off x="0" y="0"/>
                                                                      <a:ext cx="501015" cy="230505"/>
                                                                    </a:xfrm>
                                                                    <a:prstGeom prst="rect">
                                                                      <a:avLst/>
                                                                    </a:prstGeom>
                                                                    <a:noFill/>
                                                                    <a:ln w="9525">
                                                                      <a:noFill/>
                                                                      <a:miter lim="800000"/>
                                                                      <a:headEnd/>
                                                                      <a:tailEnd/>
                                                                    </a:ln>
                                                                  </pic:spPr>
                                                                </pic:pic>
                                                              </a:graphicData>
                                                            </a:graphic>
                                                          </wp:inline>
                                                        </w:drawing>
                                                      </w:r>
                                                    </w:p>
                                                  </w:tc>
                                                  <w:tc>
                                                    <w:tcPr>
                                                      <w:tcW w:w="1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0" w:type="auto"/>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65760" cy="334010"/>
                                                            <wp:effectExtent l="19050" t="0" r="0" b="0"/>
                                                            <wp:docPr id="9" name="Picture 9" descr="TIF websit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F website">
                                                                      <a:hlinkClick r:id="rId27" tgtFrame="&quot;_blank&quot;"/>
                                                                    </pic:cNvPr>
                                                                    <pic:cNvPicPr>
                                                                      <a:picLocks noChangeAspect="1" noChangeArrowheads="1"/>
                                                                    </pic:cNvPicPr>
                                                                  </pic:nvPicPr>
                                                                  <pic:blipFill>
                                                                    <a:blip r:embed="rId28" cstate="print"/>
                                                                    <a:srcRect/>
                                                                    <a:stretch>
                                                                      <a:fillRect/>
                                                                    </a:stretch>
                                                                  </pic:blipFill>
                                                                  <pic:spPr bwMode="auto">
                                                                    <a:xfrm>
                                                                      <a:off x="0" y="0"/>
                                                                      <a:ext cx="365760" cy="334010"/>
                                                                    </a:xfrm>
                                                                    <a:prstGeom prst="rect">
                                                                      <a:avLst/>
                                                                    </a:prstGeom>
                                                                    <a:noFill/>
                                                                    <a:ln w="9525">
                                                                      <a:noFill/>
                                                                      <a:miter lim="800000"/>
                                                                      <a:headEnd/>
                                                                      <a:tailEnd/>
                                                                    </a:ln>
                                                                  </pic:spPr>
                                                                </pic:pic>
                                                              </a:graphicData>
                                                            </a:graphic>
                                                          </wp:inline>
                                                        </w:drawing>
                                                      </w:r>
                                                    </w:p>
                                                  </w:tc>
                                                </w:tr>
                                              </w:tbl>
                                              <w:p w:rsidR="00420C3C" w:rsidRPr="00420C3C" w:rsidRDefault="00420C3C" w:rsidP="00420C3C">
                                                <w:pPr>
                                                  <w:spacing w:after="0" w:line="240" w:lineRule="auto"/>
                                                  <w:rPr>
                                                    <w:rFonts w:ascii="Times New Roman" w:eastAsia="Times New Roman" w:hAnsi="Times New Roman" w:cs="Times New Roman"/>
                                                    <w:sz w:val="24"/>
                                                    <w:szCs w:val="24"/>
                                                  </w:rPr>
                                                </w:pPr>
                                              </w:p>
                                            </w:tc>
                                            <w:tc>
                                              <w:tcPr>
                                                <w:tcW w:w="19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450" w:type="dxa"/>
                                                <w:vAlign w:val="center"/>
                                                <w:hideMark/>
                                              </w:tcPr>
                                              <w:p w:rsidR="00420C3C" w:rsidRPr="00420C3C" w:rsidRDefault="00420C3C" w:rsidP="00420C3C">
                                                <w:pPr>
                                                  <w:spacing w:after="0" w:line="240" w:lineRule="auto"/>
                                                  <w:rPr>
                                                    <w:rFonts w:ascii="Verdana" w:eastAsia="Times New Roman" w:hAnsi="Verdana" w:cs="Times New Roman"/>
                                                    <w:b/>
                                                    <w:bCs/>
                                                    <w:color w:val="E0E0E0"/>
                                                    <w:sz w:val="11"/>
                                                    <w:szCs w:val="11"/>
                                                  </w:rPr>
                                                </w:pPr>
                                                <w:r w:rsidRPr="00420C3C">
                                                  <w:rPr>
                                                    <w:rFonts w:ascii="Verdana" w:eastAsia="Times New Roman" w:hAnsi="Verdana" w:cs="Times New Roman"/>
                                                    <w:b/>
                                                    <w:bCs/>
                                                    <w:color w:val="E0E0E0"/>
                                                    <w:sz w:val="11"/>
                                                    <w:szCs w:val="11"/>
                                                  </w:rPr>
                                                  <w:t>Търсене:</w:t>
                                                </w:r>
                                              </w:p>
                                            </w:tc>
                                            <w:tc>
                                              <w:tcPr>
                                                <w:tcW w:w="1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16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9.45pt;height:18.15pt" o:ole="">
                                                      <v:imagedata r:id="rId29" o:title=""/>
                                                    </v:shape>
                                                    <w:control r:id="rId30" w:name="DefaultOcxName" w:shapeid="_x0000_i1047"/>
                                                  </w:object>
                                                </w:r>
                                              </w:p>
                                            </w:tc>
                                            <w:tc>
                                              <w:tcPr>
                                                <w:tcW w:w="75"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255"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r w:rsidR="00420C3C" w:rsidRPr="00420C3C">
                                      <w:trPr>
                                        <w:trHeight w:val="15"/>
                                        <w:tblCellSpacing w:w="0" w:type="dxa"/>
                                      </w:trPr>
                                      <w:tc>
                                        <w:tcPr>
                                          <w:tcW w:w="7605" w:type="dxa"/>
                                          <w:shd w:val="clear" w:color="auto" w:fill="909090"/>
                                          <w:vAlign w:val="center"/>
                                          <w:hideMark/>
                                        </w:tcPr>
                                        <w:p w:rsidR="00420C3C" w:rsidRPr="00420C3C" w:rsidRDefault="00420C3C" w:rsidP="00420C3C">
                                          <w:pPr>
                                            <w:spacing w:after="0" w:line="240" w:lineRule="auto"/>
                                            <w:rPr>
                                              <w:rFonts w:ascii="Times New Roman" w:eastAsia="Times New Roman" w:hAnsi="Times New Roman" w:cs="Times New Roman"/>
                                              <w:sz w:val="2"/>
                                              <w:szCs w:val="24"/>
                                            </w:rPr>
                                          </w:pPr>
                                        </w:p>
                                      </w:tc>
                                    </w:tr>
                                    <w:tr w:rsidR="00420C3C" w:rsidRPr="00420C3C">
                                      <w:trPr>
                                        <w:trHeight w:val="420"/>
                                        <w:tblCellSpacing w:w="0" w:type="dxa"/>
                                      </w:trPr>
                                      <w:tc>
                                        <w:tcPr>
                                          <w:tcW w:w="7605" w:type="dxa"/>
                                          <w:shd w:val="clear" w:color="auto" w:fill="41506B"/>
                                          <w:vAlign w:val="center"/>
                                          <w:hideMark/>
                                        </w:tcPr>
                                        <w:tbl>
                                          <w:tblPr>
                                            <w:tblW w:w="0" w:type="auto"/>
                                            <w:tblCellSpacing w:w="0" w:type="dxa"/>
                                            <w:tblCellMar>
                                              <w:left w:w="0" w:type="dxa"/>
                                              <w:right w:w="0" w:type="dxa"/>
                                            </w:tblCellMar>
                                            <w:tblLook w:val="04A0"/>
                                          </w:tblPr>
                                          <w:tblGrid>
                                            <w:gridCol w:w="2333"/>
                                            <w:gridCol w:w="15"/>
                                            <w:gridCol w:w="1414"/>
                                            <w:gridCol w:w="15"/>
                                            <w:gridCol w:w="2243"/>
                                            <w:gridCol w:w="15"/>
                                            <w:gridCol w:w="1490"/>
                                          </w:tblGrid>
                                          <w:tr w:rsidR="00420C3C" w:rsidRPr="00420C3C">
                                            <w:trPr>
                                              <w:trHeight w:val="420"/>
                                              <w:tblCellSpacing w:w="0" w:type="dxa"/>
                                            </w:trPr>
                                            <w:tc>
                                              <w:tcPr>
                                                <w:tcW w:w="2355" w:type="dxa"/>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r w:rsidRPr="00420C3C">
                                                  <w:rPr>
                                                    <w:rFonts w:ascii="Verdana" w:eastAsia="Times New Roman" w:hAnsi="Verdana" w:cs="Times New Roman"/>
                                                    <w:color w:val="E0E0E0"/>
                                                    <w:sz w:val="13"/>
                                                    <w:szCs w:val="13"/>
                                                  </w:rPr>
                                                  <w:t>(C) AEBTRI 2002-2008</w:t>
                                                </w:r>
                                              </w:p>
                                            </w:tc>
                                            <w:tc>
                                              <w:tcPr>
                                                <w:tcW w:w="15" w:type="dxa"/>
                                                <w:shd w:val="clear" w:color="auto" w:fill="909090"/>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p>
                                            </w:tc>
                                            <w:tc>
                                              <w:tcPr>
                                                <w:tcW w:w="1425" w:type="dxa"/>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hyperlink r:id="rId31" w:history="1">
                                                  <w:r w:rsidRPr="00420C3C">
                                                    <w:rPr>
                                                      <w:rFonts w:ascii="Verdana" w:eastAsia="Times New Roman" w:hAnsi="Verdana" w:cs="Times New Roman"/>
                                                      <w:color w:val="E0E0E0"/>
                                                      <w:sz w:val="13"/>
                                                      <w:u w:val="single"/>
                                                    </w:rPr>
                                                    <w:t>Кредит</w:t>
                                                  </w:r>
                                                </w:hyperlink>
                                              </w:p>
                                            </w:tc>
                                            <w:tc>
                                              <w:tcPr>
                                                <w:tcW w:w="15" w:type="dxa"/>
                                                <w:shd w:val="clear" w:color="auto" w:fill="909090"/>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p>
                                            </w:tc>
                                            <w:tc>
                                              <w:tcPr>
                                                <w:tcW w:w="2265" w:type="dxa"/>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hyperlink r:id="rId32" w:history="1">
                                                  <w:r w:rsidRPr="00420C3C">
                                                    <w:rPr>
                                                      <w:rFonts w:ascii="Verdana" w:eastAsia="Times New Roman" w:hAnsi="Verdana" w:cs="Times New Roman"/>
                                                      <w:color w:val="E0E0E0"/>
                                                      <w:sz w:val="13"/>
                                                      <w:u w:val="single"/>
                                                    </w:rPr>
                                                    <w:t>Карта на сайта</w:t>
                                                  </w:r>
                                                </w:hyperlink>
                                              </w:p>
                                            </w:tc>
                                            <w:tc>
                                              <w:tcPr>
                                                <w:tcW w:w="15" w:type="dxa"/>
                                                <w:shd w:val="clear" w:color="auto" w:fill="909090"/>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p>
                                            </w:tc>
                                            <w:tc>
                                              <w:tcPr>
                                                <w:tcW w:w="1500" w:type="dxa"/>
                                                <w:vAlign w:val="center"/>
                                                <w:hideMark/>
                                              </w:tcPr>
                                              <w:p w:rsidR="00420C3C" w:rsidRPr="00420C3C" w:rsidRDefault="00420C3C" w:rsidP="00420C3C">
                                                <w:pPr>
                                                  <w:spacing w:after="0" w:line="240" w:lineRule="auto"/>
                                                  <w:jc w:val="center"/>
                                                  <w:rPr>
                                                    <w:rFonts w:ascii="Verdana" w:eastAsia="Times New Roman" w:hAnsi="Verdana" w:cs="Times New Roman"/>
                                                    <w:color w:val="E0E0E0"/>
                                                    <w:sz w:val="13"/>
                                                    <w:szCs w:val="13"/>
                                                  </w:rPr>
                                                </w:pPr>
                                                <w:hyperlink r:id="rId33" w:history="1">
                                                  <w:r w:rsidRPr="00420C3C">
                                                    <w:rPr>
                                                      <w:rFonts w:ascii="Verdana" w:eastAsia="Times New Roman" w:hAnsi="Verdana" w:cs="Times New Roman"/>
                                                      <w:color w:val="E0E0E0"/>
                                                      <w:sz w:val="13"/>
                                                      <w:u w:val="single"/>
                                                    </w:rPr>
                                                    <w:t>Контакти</w:t>
                                                  </w:r>
                                                </w:hyperlink>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240" w:lineRule="auto"/>
                                      <w:rPr>
                                        <w:rFonts w:ascii="Times New Roman" w:eastAsia="Times New Roman" w:hAnsi="Times New Roman" w:cs="Times New Roman"/>
                                        <w:sz w:val="24"/>
                                        <w:szCs w:val="24"/>
                                      </w:rPr>
                                    </w:pPr>
                                  </w:p>
                                </w:tc>
                                <w:tc>
                                  <w:tcPr>
                                    <w:tcW w:w="255" w:type="dxa"/>
                                    <w:shd w:val="clear" w:color="auto" w:fill="000000"/>
                                    <w:vAlign w:val="center"/>
                                    <w:hideMark/>
                                  </w:tcPr>
                                  <w:tbl>
                                    <w:tblPr>
                                      <w:tblW w:w="255" w:type="dxa"/>
                                      <w:tblCellSpacing w:w="0" w:type="dxa"/>
                                      <w:tblBorders>
                                        <w:bottom w:val="single" w:sz="4" w:space="0" w:color="909090"/>
                                        <w:right w:val="single" w:sz="4" w:space="0" w:color="909090"/>
                                      </w:tblBorders>
                                      <w:tblCellMar>
                                        <w:left w:w="0" w:type="dxa"/>
                                        <w:right w:w="0" w:type="dxa"/>
                                      </w:tblCellMar>
                                      <w:tblLook w:val="04A0"/>
                                    </w:tblPr>
                                    <w:tblGrid>
                                      <w:gridCol w:w="255"/>
                                    </w:tblGrid>
                                    <w:tr w:rsidR="00420C3C" w:rsidRPr="00420C3C">
                                      <w:trPr>
                                        <w:tblCellSpacing w:w="0" w:type="dxa"/>
                                      </w:trPr>
                                      <w:tc>
                                        <w:tcPr>
                                          <w:tcW w:w="0" w:type="auto"/>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c>
                      <w:tcPr>
                        <w:tcW w:w="2500" w:type="pct"/>
                        <w:shd w:val="clear" w:color="auto" w:fill="888888"/>
                        <w:hideMark/>
                      </w:tcPr>
                      <w:tbl>
                        <w:tblPr>
                          <w:tblW w:w="5000" w:type="pct"/>
                          <w:tblCellSpacing w:w="0" w:type="dxa"/>
                          <w:tblCellMar>
                            <w:left w:w="0" w:type="dxa"/>
                            <w:right w:w="0" w:type="dxa"/>
                          </w:tblCellMar>
                          <w:tblLook w:val="04A0"/>
                        </w:tblPr>
                        <w:tblGrid>
                          <w:gridCol w:w="49"/>
                        </w:tblGrid>
                        <w:tr w:rsidR="00420C3C" w:rsidRPr="00420C3C">
                          <w:trPr>
                            <w:tblCellSpacing w:w="0" w:type="dxa"/>
                          </w:trPr>
                          <w:tc>
                            <w:tcPr>
                              <w:tcW w:w="0" w:type="auto"/>
                              <w:hideMark/>
                            </w:tcPr>
                            <w:tbl>
                              <w:tblPr>
                                <w:tblW w:w="5000" w:type="pct"/>
                                <w:tblCellSpacing w:w="0" w:type="dxa"/>
                                <w:tblCellMar>
                                  <w:left w:w="0" w:type="dxa"/>
                                  <w:right w:w="0" w:type="dxa"/>
                                </w:tblCellMar>
                                <w:tblLook w:val="04A0"/>
                              </w:tblPr>
                              <w:tblGrid>
                                <w:gridCol w:w="49"/>
                              </w:tblGrid>
                              <w:tr w:rsidR="00420C3C" w:rsidRPr="00420C3C">
                                <w:trPr>
                                  <w:trHeight w:val="1245"/>
                                  <w:tblCellSpacing w:w="0" w:type="dxa"/>
                                </w:trPr>
                                <w:tc>
                                  <w:tcPr>
                                    <w:tcW w:w="0" w:type="auto"/>
                                    <w:tcBorders>
                                      <w:top w:val="single" w:sz="4" w:space="0" w:color="909090"/>
                                    </w:tcBorders>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r w:rsidRPr="00420C3C">
                                      <w:rPr>
                                        <w:rFonts w:ascii="Times New Roman" w:eastAsia="Times New Roman" w:hAnsi="Times New Roman" w:cs="Times New Roman"/>
                                        <w:sz w:val="24"/>
                                        <w:szCs w:val="24"/>
                                      </w:rPr>
                                      <w:t> </w:t>
                                    </w: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bl>
                      <w:p w:rsidR="00420C3C" w:rsidRPr="00420C3C" w:rsidRDefault="00420C3C" w:rsidP="00420C3C">
                        <w:pPr>
                          <w:spacing w:after="0" w:line="0" w:lineRule="atLeast"/>
                          <w:rPr>
                            <w:rFonts w:ascii="Times New Roman" w:eastAsia="Times New Roman" w:hAnsi="Times New Roman" w:cs="Times New Roman"/>
                            <w:sz w:val="24"/>
                            <w:szCs w:val="24"/>
                          </w:rPr>
                        </w:pPr>
                      </w:p>
                    </w:tc>
                  </w:tr>
                </w:tbl>
                <w:p w:rsidR="00420C3C" w:rsidRPr="00420C3C" w:rsidRDefault="00420C3C" w:rsidP="00420C3C">
                  <w:pPr>
                    <w:spacing w:after="0" w:line="0" w:lineRule="atLeast"/>
                    <w:jc w:val="center"/>
                    <w:rPr>
                      <w:rFonts w:ascii="Times New Roman" w:eastAsia="Times New Roman" w:hAnsi="Times New Roman" w:cs="Times New Roman"/>
                      <w:sz w:val="24"/>
                      <w:szCs w:val="24"/>
                    </w:rPr>
                  </w:pPr>
                </w:p>
              </w:tc>
            </w:tr>
          </w:tbl>
          <w:p w:rsidR="00420C3C" w:rsidRPr="00420C3C" w:rsidRDefault="00420C3C" w:rsidP="00420C3C">
            <w:pPr>
              <w:spacing w:after="0" w:line="240" w:lineRule="auto"/>
              <w:rPr>
                <w:rFonts w:ascii="Times New Roman" w:eastAsia="Times New Roman" w:hAnsi="Times New Roman" w:cs="Times New Roman"/>
                <w:sz w:val="24"/>
                <w:szCs w:val="24"/>
              </w:rPr>
            </w:pPr>
          </w:p>
        </w:tc>
      </w:tr>
      <w:tr w:rsidR="00420C3C" w:rsidRPr="00420C3C" w:rsidTr="00420C3C">
        <w:trPr>
          <w:tblCellSpacing w:w="0" w:type="dxa"/>
        </w:trPr>
        <w:tc>
          <w:tcPr>
            <w:tcW w:w="0" w:type="auto"/>
            <w:vAlign w:val="center"/>
            <w:hideMark/>
          </w:tcPr>
          <w:tbl>
            <w:tblPr>
              <w:tblW w:w="0" w:type="auto"/>
              <w:jc w:val="center"/>
              <w:tblCellSpacing w:w="0" w:type="dxa"/>
              <w:tblCellMar>
                <w:left w:w="0" w:type="dxa"/>
                <w:right w:w="0" w:type="dxa"/>
              </w:tblCellMar>
              <w:tblLook w:val="04A0"/>
            </w:tblPr>
            <w:tblGrid>
              <w:gridCol w:w="6"/>
              <w:gridCol w:w="2250"/>
              <w:gridCol w:w="6"/>
              <w:gridCol w:w="2250"/>
              <w:gridCol w:w="6"/>
            </w:tblGrid>
            <w:tr w:rsidR="00420C3C" w:rsidRPr="00420C3C">
              <w:trPr>
                <w:tblCellSpacing w:w="0" w:type="dxa"/>
                <w:jc w:val="center"/>
              </w:trPr>
              <w:tc>
                <w:tcPr>
                  <w:tcW w:w="0" w:type="auto"/>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22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0" w:type="auto"/>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2250" w:type="dxa"/>
                  <w:vAlign w:val="center"/>
                  <w:hideMark/>
                </w:tcPr>
                <w:p w:rsidR="00420C3C" w:rsidRPr="00420C3C" w:rsidRDefault="00420C3C" w:rsidP="00420C3C">
                  <w:pPr>
                    <w:spacing w:after="0" w:line="240" w:lineRule="auto"/>
                    <w:rPr>
                      <w:rFonts w:ascii="Times New Roman" w:eastAsia="Times New Roman" w:hAnsi="Times New Roman" w:cs="Times New Roman"/>
                      <w:sz w:val="24"/>
                      <w:szCs w:val="24"/>
                    </w:rPr>
                  </w:pPr>
                </w:p>
              </w:tc>
              <w:tc>
                <w:tcPr>
                  <w:tcW w:w="0" w:type="auto"/>
                  <w:vAlign w:val="center"/>
                  <w:hideMark/>
                </w:tcPr>
                <w:p w:rsidR="00420C3C" w:rsidRPr="00420C3C" w:rsidRDefault="00420C3C" w:rsidP="00420C3C">
                  <w:pPr>
                    <w:spacing w:after="0" w:line="240" w:lineRule="auto"/>
                    <w:jc w:val="right"/>
                    <w:rPr>
                      <w:rFonts w:ascii="Times New Roman" w:eastAsia="Times New Roman" w:hAnsi="Times New Roman" w:cs="Times New Roman"/>
                      <w:sz w:val="24"/>
                      <w:szCs w:val="24"/>
                    </w:rPr>
                  </w:pPr>
                </w:p>
              </w:tc>
            </w:tr>
          </w:tbl>
          <w:p w:rsidR="00420C3C" w:rsidRPr="00420C3C" w:rsidRDefault="00420C3C" w:rsidP="00420C3C">
            <w:pPr>
              <w:spacing w:after="0" w:line="240" w:lineRule="auto"/>
              <w:jc w:val="center"/>
              <w:rPr>
                <w:rFonts w:ascii="Times New Roman" w:eastAsia="Times New Roman" w:hAnsi="Times New Roman" w:cs="Times New Roman"/>
                <w:sz w:val="24"/>
                <w:szCs w:val="24"/>
              </w:rPr>
            </w:pPr>
          </w:p>
        </w:tc>
      </w:tr>
    </w:tbl>
    <w:p w:rsidR="00420C3C" w:rsidRPr="00420C3C" w:rsidRDefault="00420C3C" w:rsidP="00420C3C">
      <w:pPr>
        <w:pBdr>
          <w:top w:val="single" w:sz="6" w:space="1" w:color="auto"/>
        </w:pBdr>
        <w:spacing w:after="0" w:line="240" w:lineRule="auto"/>
        <w:jc w:val="center"/>
        <w:rPr>
          <w:rFonts w:ascii="Arial" w:eastAsia="Times New Roman" w:hAnsi="Arial" w:cs="Arial"/>
          <w:vanish/>
          <w:sz w:val="16"/>
          <w:szCs w:val="16"/>
        </w:rPr>
      </w:pPr>
      <w:r w:rsidRPr="00420C3C">
        <w:rPr>
          <w:rFonts w:ascii="Arial" w:eastAsia="Times New Roman" w:hAnsi="Arial" w:cs="Arial"/>
          <w:vanish/>
          <w:sz w:val="16"/>
          <w:szCs w:val="16"/>
        </w:rPr>
        <w:t>Bottom of Form</w:t>
      </w:r>
    </w:p>
    <w:tbl>
      <w:tblPr>
        <w:tblW w:w="5000" w:type="pct"/>
        <w:tblCellSpacing w:w="75" w:type="dxa"/>
        <w:tblCellMar>
          <w:left w:w="0" w:type="dxa"/>
          <w:right w:w="0" w:type="dxa"/>
        </w:tblCellMar>
        <w:tblLook w:val="04A0"/>
      </w:tblPr>
      <w:tblGrid>
        <w:gridCol w:w="9706"/>
      </w:tblGrid>
      <w:tr w:rsidR="00420C3C" w:rsidRPr="00420C3C" w:rsidTr="00420C3C">
        <w:trPr>
          <w:tblCellSpacing w:w="75" w:type="dxa"/>
        </w:trPr>
        <w:tc>
          <w:tcPr>
            <w:tcW w:w="0" w:type="auto"/>
            <w:vAlign w:val="center"/>
            <w:hideMark/>
          </w:tcPr>
          <w:p w:rsidR="00420C3C" w:rsidRPr="00420C3C" w:rsidRDefault="00420C3C" w:rsidP="00420C3C">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color w:val="0000FF"/>
                <w:sz w:val="15"/>
                <w:szCs w:val="15"/>
              </w:rPr>
              <w:drawing>
                <wp:inline distT="0" distB="0" distL="0" distR="0">
                  <wp:extent cx="668020" cy="142875"/>
                  <wp:effectExtent l="19050" t="0" r="0" b="0"/>
                  <wp:docPr id="10" name="Picture 10" descr="http://counter.search.bg/cgi-bin/c?_id=aebtri&amp;_z=0&amp;_r=1366&amp;_c=24&amp;_j=Y&amp;_t=-120&amp;_k=Y&amp;_l=">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unter.search.bg/cgi-bin/c?_id=aebtri&amp;_z=0&amp;_r=1366&amp;_c=24&amp;_j=Y&amp;_t=-120&amp;_k=Y&amp;_l=">
                            <a:hlinkClick r:id="rId34" tgtFrame="&quot;_blank&quot;"/>
                          </pic:cNvPr>
                          <pic:cNvPicPr>
                            <a:picLocks noChangeAspect="1" noChangeArrowheads="1"/>
                          </pic:cNvPicPr>
                        </pic:nvPicPr>
                        <pic:blipFill>
                          <a:blip r:embed="rId35" cstate="print"/>
                          <a:srcRect/>
                          <a:stretch>
                            <a:fillRect/>
                          </a:stretch>
                        </pic:blipFill>
                        <pic:spPr bwMode="auto">
                          <a:xfrm>
                            <a:off x="0" y="0"/>
                            <a:ext cx="668020" cy="142875"/>
                          </a:xfrm>
                          <a:prstGeom prst="rect">
                            <a:avLst/>
                          </a:prstGeom>
                          <a:noFill/>
                          <a:ln w="9525">
                            <a:noFill/>
                            <a:miter lim="800000"/>
                            <a:headEnd/>
                            <a:tailEnd/>
                          </a:ln>
                        </pic:spPr>
                      </pic:pic>
                    </a:graphicData>
                  </a:graphic>
                </wp:inline>
              </w:drawing>
            </w:r>
          </w:p>
        </w:tc>
      </w:tr>
    </w:tbl>
    <w:p w:rsidR="00CB5F7B" w:rsidRDefault="00CB5F7B"/>
    <w:sectPr w:rsidR="00CB5F7B" w:rsidSect="00CB5F7B">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22361"/>
    <w:multiLevelType w:val="multilevel"/>
    <w:tmpl w:val="A080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rsids>
    <w:rsidRoot w:val="00420C3C"/>
    <w:rsid w:val="00420C3C"/>
    <w:rsid w:val="00CB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F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420C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20C3C"/>
    <w:rPr>
      <w:rFonts w:ascii="Arial" w:eastAsia="Times New Roman" w:hAnsi="Arial" w:cs="Arial"/>
      <w:vanish/>
      <w:sz w:val="16"/>
      <w:szCs w:val="16"/>
    </w:rPr>
  </w:style>
  <w:style w:type="paragraph" w:styleId="NormalWeb">
    <w:name w:val="Normal (Web)"/>
    <w:basedOn w:val="Normal"/>
    <w:uiPriority w:val="99"/>
    <w:unhideWhenUsed/>
    <w:rsid w:val="00420C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20C3C"/>
  </w:style>
  <w:style w:type="character" w:styleId="Hyperlink">
    <w:name w:val="Hyperlink"/>
    <w:basedOn w:val="DefaultParagraphFont"/>
    <w:uiPriority w:val="99"/>
    <w:semiHidden/>
    <w:unhideWhenUsed/>
    <w:rsid w:val="00420C3C"/>
    <w:rPr>
      <w:color w:val="0000FF"/>
      <w:u w:val="single"/>
    </w:rPr>
  </w:style>
  <w:style w:type="character" w:styleId="Strong">
    <w:name w:val="Strong"/>
    <w:basedOn w:val="DefaultParagraphFont"/>
    <w:uiPriority w:val="22"/>
    <w:qFormat/>
    <w:rsid w:val="00420C3C"/>
    <w:rPr>
      <w:b/>
      <w:bCs/>
    </w:rPr>
  </w:style>
  <w:style w:type="character" w:styleId="Emphasis">
    <w:name w:val="Emphasis"/>
    <w:basedOn w:val="DefaultParagraphFont"/>
    <w:uiPriority w:val="20"/>
    <w:qFormat/>
    <w:rsid w:val="00420C3C"/>
    <w:rPr>
      <w:i/>
      <w:iCs/>
    </w:rPr>
  </w:style>
  <w:style w:type="paragraph" w:styleId="z-BottomofForm">
    <w:name w:val="HTML Bottom of Form"/>
    <w:basedOn w:val="Normal"/>
    <w:next w:val="Normal"/>
    <w:link w:val="z-BottomofFormChar"/>
    <w:hidden/>
    <w:uiPriority w:val="99"/>
    <w:semiHidden/>
    <w:unhideWhenUsed/>
    <w:rsid w:val="00420C3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20C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420C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C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3957236">
      <w:bodyDiv w:val="1"/>
      <w:marLeft w:val="0"/>
      <w:marRight w:val="0"/>
      <w:marTop w:val="0"/>
      <w:marBottom w:val="0"/>
      <w:divBdr>
        <w:top w:val="none" w:sz="0" w:space="0" w:color="auto"/>
        <w:left w:val="none" w:sz="0" w:space="0" w:color="auto"/>
        <w:bottom w:val="none" w:sz="0" w:space="0" w:color="auto"/>
        <w:right w:val="none" w:sz="0" w:space="0" w:color="auto"/>
      </w:divBdr>
      <w:divsChild>
        <w:div w:id="1637952910">
          <w:marLeft w:val="125"/>
          <w:marRight w:val="125"/>
          <w:marTop w:val="125"/>
          <w:marBottom w:val="125"/>
          <w:divBdr>
            <w:top w:val="none" w:sz="0" w:space="0" w:color="auto"/>
            <w:left w:val="none" w:sz="0" w:space="0" w:color="auto"/>
            <w:bottom w:val="none" w:sz="0" w:space="0" w:color="auto"/>
            <w:right w:val="none" w:sz="0" w:space="0" w:color="auto"/>
          </w:divBdr>
          <w:divsChild>
            <w:div w:id="1895001356">
              <w:marLeft w:val="0"/>
              <w:marRight w:val="0"/>
              <w:marTop w:val="0"/>
              <w:marBottom w:val="0"/>
              <w:divBdr>
                <w:top w:val="none" w:sz="0" w:space="0" w:color="auto"/>
                <w:left w:val="none" w:sz="0" w:space="0" w:color="auto"/>
                <w:bottom w:val="none" w:sz="0" w:space="0" w:color="auto"/>
                <w:right w:val="none" w:sz="0" w:space="0" w:color="auto"/>
              </w:divBdr>
            </w:div>
            <w:div w:id="704906933">
              <w:marLeft w:val="0"/>
              <w:marRight w:val="0"/>
              <w:marTop w:val="0"/>
              <w:marBottom w:val="0"/>
              <w:divBdr>
                <w:top w:val="none" w:sz="0" w:space="0" w:color="auto"/>
                <w:left w:val="none" w:sz="0" w:space="0" w:color="auto"/>
                <w:bottom w:val="none" w:sz="0" w:space="0" w:color="auto"/>
                <w:right w:val="none" w:sz="0" w:space="0" w:color="auto"/>
              </w:divBdr>
              <w:divsChild>
                <w:div w:id="459343717">
                  <w:marLeft w:val="0"/>
                  <w:marRight w:val="0"/>
                  <w:marTop w:val="0"/>
                  <w:marBottom w:val="0"/>
                  <w:divBdr>
                    <w:top w:val="none" w:sz="0" w:space="0" w:color="auto"/>
                    <w:left w:val="none" w:sz="0" w:space="0" w:color="auto"/>
                    <w:bottom w:val="none" w:sz="0" w:space="0" w:color="auto"/>
                    <w:right w:val="none" w:sz="0" w:space="0" w:color="auto"/>
                  </w:divBdr>
                  <w:divsChild>
                    <w:div w:id="1513371519">
                      <w:marLeft w:val="0"/>
                      <w:marRight w:val="0"/>
                      <w:marTop w:val="0"/>
                      <w:marBottom w:val="0"/>
                      <w:divBdr>
                        <w:top w:val="none" w:sz="0" w:space="0" w:color="auto"/>
                        <w:left w:val="none" w:sz="0" w:space="0" w:color="auto"/>
                        <w:bottom w:val="none" w:sz="0" w:space="0" w:color="auto"/>
                        <w:right w:val="none" w:sz="0" w:space="0" w:color="auto"/>
                      </w:divBdr>
                      <w:divsChild>
                        <w:div w:id="94135445">
                          <w:marLeft w:val="0"/>
                          <w:marRight w:val="0"/>
                          <w:marTop w:val="0"/>
                          <w:marBottom w:val="0"/>
                          <w:divBdr>
                            <w:top w:val="none" w:sz="0" w:space="0" w:color="auto"/>
                            <w:left w:val="none" w:sz="0" w:space="0" w:color="auto"/>
                            <w:bottom w:val="none" w:sz="0" w:space="0" w:color="auto"/>
                            <w:right w:val="none" w:sz="0" w:space="0" w:color="auto"/>
                          </w:divBdr>
                          <w:divsChild>
                            <w:div w:id="1863124352">
                              <w:marLeft w:val="0"/>
                              <w:marRight w:val="0"/>
                              <w:marTop w:val="0"/>
                              <w:marBottom w:val="0"/>
                              <w:divBdr>
                                <w:top w:val="none" w:sz="0" w:space="0" w:color="auto"/>
                                <w:left w:val="none" w:sz="0" w:space="0" w:color="auto"/>
                                <w:bottom w:val="none" w:sz="0" w:space="0" w:color="auto"/>
                                <w:right w:val="none" w:sz="0" w:space="0" w:color="auto"/>
                              </w:divBdr>
                              <w:divsChild>
                                <w:div w:id="625237605">
                                  <w:marLeft w:val="0"/>
                                  <w:marRight w:val="0"/>
                                  <w:marTop w:val="0"/>
                                  <w:marBottom w:val="0"/>
                                  <w:divBdr>
                                    <w:top w:val="none" w:sz="0" w:space="0" w:color="auto"/>
                                    <w:left w:val="none" w:sz="0" w:space="0" w:color="auto"/>
                                    <w:bottom w:val="none" w:sz="0" w:space="0" w:color="auto"/>
                                    <w:right w:val="none" w:sz="0" w:space="0" w:color="auto"/>
                                  </w:divBdr>
                                  <w:divsChild>
                                    <w:div w:id="17922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aebtri.com/aebtri/attachments/FNTR-WR.doc" TargetMode="External"/><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8.gif"/><Relationship Id="rId3" Type="http://schemas.openxmlformats.org/officeDocument/2006/relationships/settings" Target="settings.xml"/><Relationship Id="rId21" Type="http://schemas.openxmlformats.org/officeDocument/2006/relationships/hyperlink" Target="http://mail.aebtri.com/aebtri/attachments/Russia-Recommendations%20for%20drivers.doc" TargetMode="External"/><Relationship Id="rId34" Type="http://schemas.openxmlformats.org/officeDocument/2006/relationships/hyperlink" Target="http://counter.search.bg/cgi-bin/s?_id=aebtri" TargetMode="External"/><Relationship Id="rId7" Type="http://schemas.openxmlformats.org/officeDocument/2006/relationships/hyperlink" Target="wlmailhtml:%7b1ADC26BD-57F0-4FB8-BA95-8F1426E16A99%7dmid://00000004/!x-usc:https://www.zoll.de/EN/Service/Enquiries/enquiries_node.html" TargetMode="External"/><Relationship Id="rId12" Type="http://schemas.openxmlformats.org/officeDocument/2006/relationships/image" Target="media/image1.jpeg"/><Relationship Id="rId17" Type="http://schemas.openxmlformats.org/officeDocument/2006/relationships/image" Target="media/image4.jpeg"/><Relationship Id="rId25" Type="http://schemas.openxmlformats.org/officeDocument/2006/relationships/hyperlink" Target="http://www.iru.org/" TargetMode="External"/><Relationship Id="rId33" Type="http://schemas.openxmlformats.org/officeDocument/2006/relationships/hyperlink" Target="http://aebtri.com/Default.aspx?&amp;Page=PageAB"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mailto:hotline@iru.org" TargetMode="External"/><Relationship Id="rId29"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hyperlink" Target="wlmailhtml:%7b1ADC26BD-57F0-4FB8-BA95-8F1426E16A99%7dmid://00000004/!x-usc:https://www.bmas.de/DE/Service/Buergertelefon/inhalt.html" TargetMode="External"/><Relationship Id="rId11" Type="http://schemas.openxmlformats.org/officeDocument/2006/relationships/hyperlink" Target="http://mail.aebtri.com/aebtri/attachments/%D0%95%D0%9A-FR.doc" TargetMode="External"/><Relationship Id="rId24" Type="http://schemas.openxmlformats.org/officeDocument/2006/relationships/image" Target="media/image7.jpeg"/><Relationship Id="rId32" Type="http://schemas.openxmlformats.org/officeDocument/2006/relationships/hyperlink" Target="http://aebtri.com/Default.aspx?&amp;Page=PageCC" TargetMode="External"/><Relationship Id="rId37" Type="http://schemas.openxmlformats.org/officeDocument/2006/relationships/theme" Target="theme/theme1.xml"/><Relationship Id="rId5" Type="http://schemas.openxmlformats.org/officeDocument/2006/relationships/hyperlink" Target="wlmailhtml:%7b1ADC26BD-57F0-4FB8-BA95-8F1426E16A99%7dmid://00000004/!x-usc:http://www.zoll.de/DE/Fachthemen/Arbeit/Meldungen-bei-Entsendung/meldungen-bei-entsendung_node.html" TargetMode="External"/><Relationship Id="rId15" Type="http://schemas.openxmlformats.org/officeDocument/2006/relationships/hyperlink" Target="mailto:hotline@iru.org" TargetMode="External"/><Relationship Id="rId23" Type="http://schemas.openxmlformats.org/officeDocument/2006/relationships/hyperlink" Target="http://mail.aebtri.com/aebtri/attachments/Dop_gar_RU.doc" TargetMode="External"/><Relationship Id="rId28" Type="http://schemas.openxmlformats.org/officeDocument/2006/relationships/image" Target="media/image9.gif"/><Relationship Id="rId36" Type="http://schemas.openxmlformats.org/officeDocument/2006/relationships/fontTable" Target="fontTable.xml"/><Relationship Id="rId10" Type="http://schemas.openxmlformats.org/officeDocument/2006/relationships/hyperlink" Target="http://mail.aebtri.com/aebtri/attachments/FR-11-07-2014.pdf" TargetMode="External"/><Relationship Id="rId19" Type="http://schemas.openxmlformats.org/officeDocument/2006/relationships/image" Target="media/image6.jpeg"/><Relationship Id="rId31" Type="http://schemas.openxmlformats.org/officeDocument/2006/relationships/hyperlink" Target="http://aebtri.com/Default.aspx?&amp;Page=Credits" TargetMode="External"/><Relationship Id="rId4" Type="http://schemas.openxmlformats.org/officeDocument/2006/relationships/webSettings" Target="webSettings.xml"/><Relationship Id="rId9" Type="http://schemas.openxmlformats.org/officeDocument/2006/relationships/hyperlink" Target="http://mail.aebtri.com/aebtri/attachments/EK-IRU-WR.doc" TargetMode="External"/><Relationship Id="rId14" Type="http://schemas.openxmlformats.org/officeDocument/2006/relationships/hyperlink" Target="http://mail.aebtri.com/aebtri/attachments/HeERO_WP4_Survey_ecall_Dangerous_Goods_20140331_BG.doc" TargetMode="External"/><Relationship Id="rId22" Type="http://schemas.openxmlformats.org/officeDocument/2006/relationships/hyperlink" Target="http://mail.aebtri.com/aebtri/attachments/Declaration%20Form_RUS.pdf" TargetMode="External"/><Relationship Id="rId27" Type="http://schemas.openxmlformats.org/officeDocument/2006/relationships/hyperlink" Target="http://www.transfrigo.com/" TargetMode="External"/><Relationship Id="rId30" Type="http://schemas.openxmlformats.org/officeDocument/2006/relationships/control" Target="activeX/activeX1.xml"/><Relationship Id="rId35" Type="http://schemas.openxmlformats.org/officeDocument/2006/relationships/image" Target="media/image11.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6400</Words>
  <Characters>36482</Characters>
  <Application>Microsoft Office Word</Application>
  <DocSecurity>0</DocSecurity>
  <Lines>304</Lines>
  <Paragraphs>85</Paragraphs>
  <ScaleCrop>false</ScaleCrop>
  <Company/>
  <LinksUpToDate>false</LinksUpToDate>
  <CharactersWithSpaces>42797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2015-01-08T12:57:00Z</dcterms:created>
  <dcterms:modified xsi:type="dcterms:W3CDTF">2015-01-08T12:58:00Z</dcterms:modified>
</cp:coreProperties>
</file>