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012" w:rsidRDefault="002B2012" w:rsidP="00362B83">
      <w:pPr>
        <w:widowControl w:val="0"/>
        <w:autoSpaceDE w:val="0"/>
        <w:autoSpaceDN w:val="0"/>
        <w:adjustRightInd w:val="0"/>
        <w:ind w:firstLine="480"/>
        <w:jc w:val="center"/>
        <w:rPr>
          <w:b/>
          <w:bCs/>
          <w:sz w:val="28"/>
          <w:szCs w:val="28"/>
          <w:lang w:val="en-US"/>
        </w:rPr>
      </w:pPr>
    </w:p>
    <w:p w:rsidR="002B2012" w:rsidRDefault="002B2012" w:rsidP="00362B83">
      <w:pPr>
        <w:widowControl w:val="0"/>
        <w:autoSpaceDE w:val="0"/>
        <w:autoSpaceDN w:val="0"/>
        <w:adjustRightInd w:val="0"/>
        <w:ind w:firstLine="480"/>
        <w:jc w:val="center"/>
        <w:rPr>
          <w:b/>
          <w:bCs/>
          <w:sz w:val="28"/>
          <w:szCs w:val="28"/>
          <w:lang w:val="en-US"/>
        </w:rPr>
      </w:pPr>
    </w:p>
    <w:p w:rsidR="002B2012" w:rsidRDefault="002B2012" w:rsidP="00362B83">
      <w:pPr>
        <w:widowControl w:val="0"/>
        <w:autoSpaceDE w:val="0"/>
        <w:autoSpaceDN w:val="0"/>
        <w:adjustRightInd w:val="0"/>
        <w:ind w:firstLine="480"/>
        <w:jc w:val="center"/>
        <w:rPr>
          <w:b/>
          <w:bCs/>
          <w:sz w:val="28"/>
          <w:szCs w:val="28"/>
          <w:lang w:val="en-US"/>
        </w:rPr>
      </w:pPr>
    </w:p>
    <w:p w:rsidR="00BA633D" w:rsidRDefault="00BA633D" w:rsidP="00362B83">
      <w:pPr>
        <w:widowControl w:val="0"/>
        <w:autoSpaceDE w:val="0"/>
        <w:autoSpaceDN w:val="0"/>
        <w:adjustRightInd w:val="0"/>
        <w:ind w:firstLine="480"/>
        <w:jc w:val="center"/>
        <w:rPr>
          <w:b/>
          <w:bCs/>
          <w:sz w:val="28"/>
          <w:szCs w:val="28"/>
        </w:rPr>
      </w:pPr>
      <w:r w:rsidRPr="00362B83">
        <w:rPr>
          <w:b/>
          <w:bCs/>
          <w:sz w:val="28"/>
          <w:szCs w:val="28"/>
        </w:rPr>
        <w:t xml:space="preserve">Счетоводно отчитане и данъчно третиране на ваучери за храна </w:t>
      </w:r>
      <w:r w:rsidR="00362B83">
        <w:rPr>
          <w:b/>
          <w:bCs/>
          <w:sz w:val="28"/>
          <w:szCs w:val="28"/>
        </w:rPr>
        <w:t xml:space="preserve"> </w:t>
      </w:r>
      <w:r w:rsidRPr="00362B83">
        <w:rPr>
          <w:b/>
          <w:bCs/>
          <w:sz w:val="28"/>
          <w:szCs w:val="28"/>
        </w:rPr>
        <w:t>при работодателите</w:t>
      </w:r>
    </w:p>
    <w:p w:rsidR="00362B83" w:rsidRPr="00362B83" w:rsidRDefault="00362B83" w:rsidP="00362B83">
      <w:pPr>
        <w:widowControl w:val="0"/>
        <w:autoSpaceDE w:val="0"/>
        <w:autoSpaceDN w:val="0"/>
        <w:adjustRightInd w:val="0"/>
        <w:ind w:firstLine="480"/>
        <w:jc w:val="center"/>
        <w:rPr>
          <w:b/>
          <w:bCs/>
          <w:sz w:val="28"/>
          <w:szCs w:val="28"/>
          <w:lang w:val="en-US"/>
        </w:rPr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На първия етап - паричен превод в размер на номиналната стойност на договорените ваучери, счетоводното отчитане е свързано с представяне на възникване на вземане от оператора и намаление на паричните средства на работодателя, в размер на номиналната стойност на договорените ваучери и възнаграждението на оператора.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В счетоводен аспект, ефективното предоставяне на ваучерите под формата на книжа на втория етап, следва да бъде представено като увеличение на паричните средства, получени под формата на ваучери и намаление на вземането от оператора. Договореното възнаграждение, което е заплатено авансово от работодателя на оператора за отпечатването на ваучерите, представлява текущ разход, който намира отражение в отчета за приходите и разходите на работодателя.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На третия етап - предоставяне на ваучерите на работниците, същите следва да бъдат представени като увеличение на текущите социални разходи, подлежащи на изплащане към работниците и служителите и увеличение на задълженията към персонала.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И на последния етап, изплащането на начислените за съответния месец ваучери се осъществява чрез счетоводна статия, отчитаща намалението на задълженията към персонала и намалението на паричните средства по сметката, която отчита номиналната стойност на ваучерите.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За целите на ЗДДС предоставянето на ваучери от работодателя на работниците не представлява доставка, доколкото за предоставянето на ваучерите за храна на работниците не е ползван данъчен кредит. Както вече бе подчертано, на ваучерите не бива да се придава съдържание на "ценни книжа" по смисъла на ЗДДС.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Предоставянето на ваучери не е обвързано с лимит за работника. По-горе бяха изброени условията, при които не се облагат с данък социалните разходи в размер до 60 лв. месечно.</w:t>
      </w: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  <w:r>
        <w:t>В Указанието са разгледани две хипотези в тази връзка. При първата от тях - ако не е изпълнено някое от изброените условия на разпоредбата от ЗКПО, данък се дължи върху целия размер на отчетения разход. При втората хипотеза - ако начислените разходи са в размер по-висок от 60 лева месечно, данък се дължи върху превишението над 60 лв.</w:t>
      </w:r>
    </w:p>
    <w:p w:rsidR="00AC5304" w:rsidRDefault="00AC5304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AC5304" w:rsidRDefault="00AC5304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2B2012" w:rsidRDefault="002B2012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BA633D" w:rsidRPr="002B2012" w:rsidRDefault="00BA633D" w:rsidP="00BA633D">
      <w:pPr>
        <w:widowControl w:val="0"/>
        <w:autoSpaceDE w:val="0"/>
        <w:autoSpaceDN w:val="0"/>
        <w:adjustRightInd w:val="0"/>
        <w:ind w:firstLine="480"/>
        <w:jc w:val="both"/>
        <w:rPr>
          <w:lang w:val="en-US"/>
        </w:rPr>
      </w:pPr>
    </w:p>
    <w:p w:rsidR="00BA633D" w:rsidRDefault="00BA633D" w:rsidP="00BA633D">
      <w:pPr>
        <w:widowControl w:val="0"/>
        <w:autoSpaceDE w:val="0"/>
        <w:autoSpaceDN w:val="0"/>
        <w:adjustRightInd w:val="0"/>
        <w:ind w:firstLine="480"/>
        <w:jc w:val="both"/>
      </w:pPr>
    </w:p>
    <w:p w:rsidR="00BA633D" w:rsidRDefault="00BA633D" w:rsidP="00BA633D">
      <w:pPr>
        <w:rPr>
          <w:b/>
          <w:bCs/>
          <w:sz w:val="28"/>
          <w:szCs w:val="28"/>
        </w:rPr>
      </w:pPr>
      <w:r>
        <w:t>                                                    </w:t>
      </w:r>
      <w:r>
        <w:rPr>
          <w:b/>
          <w:bCs/>
          <w:sz w:val="28"/>
          <w:szCs w:val="28"/>
        </w:rPr>
        <w:t>Счетоводно отчитане</w:t>
      </w:r>
    </w:p>
    <w:p w:rsidR="00BA633D" w:rsidRPr="00362B83" w:rsidRDefault="00BA633D" w:rsidP="00BA633D">
      <w:pPr>
        <w:rPr>
          <w:sz w:val="28"/>
          <w:szCs w:val="28"/>
          <w:u w:val="thick" w:color="FF0000"/>
          <w:lang w:val="en-US"/>
        </w:rPr>
      </w:pPr>
      <w:r>
        <w:rPr>
          <w:sz w:val="28"/>
          <w:szCs w:val="28"/>
        </w:rPr>
        <w:t>                                                          </w:t>
      </w:r>
      <w:r>
        <w:rPr>
          <w:sz w:val="28"/>
          <w:szCs w:val="28"/>
          <w:lang w:val="en-US"/>
        </w:rPr>
        <w:t xml:space="preserve"> </w:t>
      </w:r>
      <w:r w:rsidRPr="00362B83">
        <w:rPr>
          <w:sz w:val="28"/>
          <w:szCs w:val="28"/>
          <w:u w:val="thick" w:color="FF0000"/>
          <w:lang w:val="en-US"/>
        </w:rPr>
        <w:t>/</w:t>
      </w:r>
      <w:r w:rsidRPr="00362B83">
        <w:rPr>
          <w:sz w:val="28"/>
          <w:szCs w:val="28"/>
          <w:u w:val="thick" w:color="FF0000"/>
        </w:rPr>
        <w:t>пример/</w:t>
      </w:r>
    </w:p>
    <w:p w:rsidR="00BA633D" w:rsidRPr="00BA633D" w:rsidRDefault="00BA633D" w:rsidP="00BA633D">
      <w:pPr>
        <w:rPr>
          <w:sz w:val="28"/>
          <w:szCs w:val="28"/>
          <w:lang w:val="en-US"/>
        </w:rPr>
      </w:pPr>
    </w:p>
    <w:p w:rsidR="00BA633D" w:rsidRDefault="00BA633D" w:rsidP="00E842C8">
      <w:pPr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>Сметките използвани в примера са условни ,   Вие ще ги определите съгласно Вашия сметкоплан</w:t>
      </w:r>
      <w:r>
        <w:rPr>
          <w:sz w:val="28"/>
          <w:szCs w:val="28"/>
        </w:rPr>
        <w:t>.</w:t>
      </w:r>
    </w:p>
    <w:p w:rsidR="00BA633D" w:rsidRDefault="00BA633D" w:rsidP="00BA633D">
      <w:pPr>
        <w:rPr>
          <w:sz w:val="22"/>
          <w:szCs w:val="22"/>
        </w:rPr>
      </w:pPr>
    </w:p>
    <w:p w:rsidR="00BA633D" w:rsidRDefault="00BA633D" w:rsidP="00BA633D">
      <w:pPr>
        <w:rPr>
          <w:sz w:val="28"/>
          <w:szCs w:val="28"/>
        </w:rPr>
      </w:pPr>
    </w:p>
    <w:p w:rsidR="00BA633D" w:rsidRDefault="00BA633D" w:rsidP="00E842C8">
      <w:pPr>
        <w:pStyle w:val="ListParagraph"/>
        <w:ind w:left="405"/>
        <w:jc w:val="center"/>
      </w:pPr>
      <w:r>
        <w:t>С оглед спазване на последователността при представяне на счетоводната методология на отчитане на сделките с ваучери при  работодателите,  условно разграничаваме следните етапи:</w:t>
      </w:r>
    </w:p>
    <w:p w:rsidR="00BA633D" w:rsidRDefault="00BA633D" w:rsidP="00BA633D">
      <w:pPr>
        <w:pStyle w:val="ListParagraph"/>
        <w:ind w:left="405"/>
      </w:pPr>
    </w:p>
    <w:p w:rsidR="00BA633D" w:rsidRPr="00BA633D" w:rsidRDefault="00E842C8" w:rsidP="00BA633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</w:t>
      </w:r>
      <w:r w:rsidR="00BA633D" w:rsidRPr="00BA633D">
        <w:rPr>
          <w:sz w:val="28"/>
          <w:szCs w:val="28"/>
          <w:u w:val="single"/>
        </w:rPr>
        <w:t>∙ Първи етап:</w:t>
      </w:r>
    </w:p>
    <w:p w:rsidR="00BA633D" w:rsidRPr="00E842C8" w:rsidRDefault="00BA633D" w:rsidP="00BA633D">
      <w:pPr>
        <w:rPr>
          <w:b/>
          <w:bCs/>
        </w:rPr>
      </w:pPr>
      <w:r w:rsidRPr="00E842C8">
        <w:rPr>
          <w:rFonts w:ascii="Arial" w:hAnsi="Arial" w:cs="Arial"/>
          <w:b/>
          <w:bCs/>
          <w:i/>
          <w:iCs/>
          <w:color w:val="333333"/>
          <w:sz w:val="18"/>
          <w:szCs w:val="18"/>
        </w:rPr>
        <w:t>     -</w:t>
      </w:r>
      <w:r w:rsidRPr="00E842C8">
        <w:rPr>
          <w:b/>
          <w:bCs/>
        </w:rPr>
        <w:t xml:space="preserve">Паричен превод в размер на </w:t>
      </w:r>
      <w:r w:rsidRPr="00E842C8">
        <w:rPr>
          <w:b/>
          <w:bCs/>
          <w:u w:val="thick"/>
        </w:rPr>
        <w:t>номиналната стойност</w:t>
      </w:r>
      <w:r w:rsidRPr="00E842C8">
        <w:rPr>
          <w:b/>
          <w:bCs/>
        </w:rPr>
        <w:t xml:space="preserve"> на договорените ваучер</w:t>
      </w:r>
      <w:r>
        <w:rPr>
          <w:b/>
          <w:bCs/>
        </w:rPr>
        <w:t>и</w:t>
      </w:r>
    </w:p>
    <w:p w:rsidR="00BA633D" w:rsidRPr="00BA633D" w:rsidRDefault="00E842C8" w:rsidP="00BA633D">
      <w:pPr>
        <w:rPr>
          <w:b/>
          <w:bCs/>
          <w:color w:val="FF0000"/>
        </w:rPr>
      </w:pPr>
      <w:r>
        <w:rPr>
          <w:b/>
          <w:bCs/>
          <w:color w:val="FF0000"/>
        </w:rPr>
        <w:t>    </w:t>
      </w:r>
      <w:r w:rsidR="00BA633D" w:rsidRPr="00BA633D">
        <w:rPr>
          <w:b/>
          <w:bCs/>
          <w:color w:val="FF0000"/>
        </w:rPr>
        <w:t>  Плащане на ваучери за храна</w:t>
      </w:r>
    </w:p>
    <w:p w:rsidR="00BA633D" w:rsidRDefault="00BA633D" w:rsidP="00BA633D">
      <w:pPr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b/>
          <w:bCs/>
          <w:color w:val="333333"/>
          <w:sz w:val="18"/>
          <w:szCs w:val="18"/>
        </w:rPr>
        <w:t xml:space="preserve">             </w:t>
      </w:r>
      <w:r>
        <w:rPr>
          <w:rFonts w:ascii="Arial" w:hAnsi="Arial" w:cs="Arial"/>
          <w:color w:val="333333"/>
          <w:sz w:val="18"/>
          <w:szCs w:val="18"/>
        </w:rPr>
        <w:t>Д-т с/ка 402 </w:t>
      </w:r>
      <w:r>
        <w:rPr>
          <w:rFonts w:ascii="Arial" w:hAnsi="Arial" w:cs="Arial"/>
          <w:i/>
          <w:iCs/>
          <w:color w:val="333333"/>
          <w:sz w:val="18"/>
          <w:szCs w:val="18"/>
        </w:rPr>
        <w:t>Доставчици по аванси</w:t>
      </w:r>
      <w:r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color w:val="333333"/>
          <w:sz w:val="18"/>
          <w:szCs w:val="18"/>
        </w:rPr>
        <w:t>             анал. сметка на оператора </w:t>
      </w:r>
      <w:r>
        <w:rPr>
          <w:rFonts w:ascii="Arial" w:hAnsi="Arial" w:cs="Arial"/>
          <w:color w:val="333333"/>
          <w:sz w:val="18"/>
          <w:szCs w:val="18"/>
        </w:rPr>
        <w:br/>
        <w:t>             К-т с/ка 503 </w:t>
      </w:r>
      <w:r>
        <w:rPr>
          <w:rFonts w:ascii="Arial" w:hAnsi="Arial" w:cs="Arial"/>
          <w:i/>
          <w:iCs/>
          <w:color w:val="333333"/>
          <w:sz w:val="18"/>
          <w:szCs w:val="18"/>
        </w:rPr>
        <w:t>Разплащателна сметка в левове;</w:t>
      </w:r>
    </w:p>
    <w:p w:rsidR="00BA633D" w:rsidRDefault="00BA633D" w:rsidP="00BA633D">
      <w:r>
        <w:t>             за получените от оператора ваучери за храна:</w:t>
      </w:r>
    </w:p>
    <w:p w:rsidR="00BA633D" w:rsidRDefault="00BA633D" w:rsidP="00BA633D"/>
    <w:p w:rsidR="00BA633D" w:rsidRPr="00BA633D" w:rsidRDefault="00E842C8" w:rsidP="00BA633D">
      <w:pPr>
        <w:rPr>
          <w:rFonts w:ascii="Calibri" w:hAnsi="Calibri"/>
          <w:b/>
          <w:bCs/>
          <w:color w:val="0070C0"/>
          <w:sz w:val="22"/>
          <w:szCs w:val="22"/>
        </w:rPr>
      </w:pPr>
      <w:r>
        <w:rPr>
          <w:b/>
          <w:bCs/>
          <w:color w:val="0070C0"/>
        </w:rPr>
        <w:t xml:space="preserve">      </w:t>
      </w:r>
      <w:r w:rsidR="00BA633D" w:rsidRPr="00BA633D">
        <w:rPr>
          <w:b/>
          <w:bCs/>
          <w:color w:val="0070C0"/>
        </w:rPr>
        <w:t>Получаване на ваучери за храна</w:t>
      </w:r>
    </w:p>
    <w:p w:rsidR="00BA633D" w:rsidRDefault="00BA633D" w:rsidP="00BA633D">
      <w:pPr>
        <w:shd w:val="clear" w:color="auto" w:fill="FFFFFF"/>
        <w:spacing w:line="270" w:lineRule="atLeast"/>
        <w:rPr>
          <w:rFonts w:ascii="Arial" w:hAnsi="Arial" w:cs="Arial"/>
          <w:i/>
          <w:iCs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  Д-т с/ка 509 </w:t>
      </w:r>
      <w:r>
        <w:rPr>
          <w:rFonts w:ascii="Arial" w:hAnsi="Arial" w:cs="Arial"/>
          <w:i/>
          <w:iCs/>
          <w:color w:val="333333"/>
          <w:sz w:val="18"/>
          <w:szCs w:val="18"/>
        </w:rPr>
        <w:t xml:space="preserve">Други парични средства       </w:t>
      </w:r>
      <w:r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color w:val="333333"/>
          <w:sz w:val="18"/>
          <w:szCs w:val="18"/>
        </w:rPr>
        <w:t>             анал. сметка </w:t>
      </w:r>
      <w:r>
        <w:rPr>
          <w:rFonts w:ascii="Arial" w:hAnsi="Arial" w:cs="Arial"/>
          <w:i/>
          <w:iCs/>
          <w:color w:val="333333"/>
          <w:sz w:val="18"/>
          <w:szCs w:val="18"/>
        </w:rPr>
        <w:t>Ваучери за храна </w:t>
      </w:r>
      <w:r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color w:val="333333"/>
          <w:sz w:val="18"/>
          <w:szCs w:val="18"/>
        </w:rPr>
        <w:t>             К-т с/ка 402 </w:t>
      </w:r>
      <w:r>
        <w:rPr>
          <w:rFonts w:ascii="Arial" w:hAnsi="Arial" w:cs="Arial"/>
          <w:i/>
          <w:iCs/>
          <w:color w:val="333333"/>
          <w:sz w:val="18"/>
          <w:szCs w:val="18"/>
        </w:rPr>
        <w:t>Доставчици по аванси;</w:t>
      </w:r>
    </w:p>
    <w:p w:rsidR="00BA633D" w:rsidRDefault="00BA633D" w:rsidP="00BA633D">
      <w:pPr>
        <w:shd w:val="clear" w:color="auto" w:fill="FFFFFF"/>
        <w:spacing w:line="270" w:lineRule="atLeast"/>
        <w:rPr>
          <w:rFonts w:ascii="Arial" w:hAnsi="Arial" w:cs="Arial"/>
          <w:i/>
          <w:iCs/>
          <w:color w:val="333333"/>
          <w:sz w:val="18"/>
          <w:szCs w:val="18"/>
        </w:rPr>
      </w:pPr>
    </w:p>
    <w:p w:rsidR="00BA633D" w:rsidRDefault="00BA633D" w:rsidP="00BA633D">
      <w:pPr>
        <w:shd w:val="clear" w:color="auto" w:fill="FFFFFF"/>
        <w:spacing w:line="270" w:lineRule="atLeast"/>
        <w:rPr>
          <w:rFonts w:ascii="Calibri" w:hAnsi="Calibri"/>
          <w:b/>
          <w:bCs/>
          <w:sz w:val="22"/>
          <w:szCs w:val="22"/>
        </w:rPr>
      </w:pPr>
      <w:r>
        <w:rPr>
          <w:rFonts w:ascii="Arial" w:hAnsi="Arial" w:cs="Arial"/>
          <w:i/>
          <w:iCs/>
          <w:color w:val="333333"/>
          <w:sz w:val="18"/>
          <w:szCs w:val="18"/>
        </w:rPr>
        <w:t>     </w:t>
      </w:r>
      <w:r w:rsidR="00E842C8">
        <w:rPr>
          <w:rFonts w:ascii="Arial" w:hAnsi="Arial" w:cs="Arial"/>
          <w:b/>
          <w:bCs/>
          <w:i/>
          <w:iCs/>
          <w:color w:val="333333"/>
          <w:sz w:val="18"/>
          <w:szCs w:val="18"/>
        </w:rPr>
        <w:t>-</w:t>
      </w:r>
      <w:r>
        <w:rPr>
          <w:b/>
          <w:bCs/>
        </w:rPr>
        <w:t xml:space="preserve"> Паричен превод в размер на </w:t>
      </w:r>
      <w:r w:rsidRPr="00E842C8">
        <w:rPr>
          <w:b/>
          <w:bCs/>
          <w:u w:val="thick"/>
        </w:rPr>
        <w:t>договореното възнаграждение</w:t>
      </w:r>
      <w:r>
        <w:rPr>
          <w:b/>
          <w:bCs/>
        </w:rPr>
        <w:t xml:space="preserve"> на оператора,</w:t>
      </w:r>
      <w:r>
        <w:rPr>
          <w:rFonts w:ascii="Arial" w:hAnsi="Arial" w:cs="Arial"/>
          <w:b/>
          <w:bCs/>
          <w:color w:val="333333"/>
          <w:sz w:val="18"/>
          <w:szCs w:val="18"/>
        </w:rPr>
        <w:t xml:space="preserve">  </w:t>
      </w:r>
      <w:r w:rsidRPr="00E842C8">
        <w:rPr>
          <w:b/>
          <w:bCs/>
        </w:rPr>
        <w:t>по издадена от него фактура</w:t>
      </w:r>
    </w:p>
    <w:p w:rsidR="00BA633D" w:rsidRDefault="00BA633D" w:rsidP="00BA633D">
      <w:pPr>
        <w:shd w:val="clear" w:color="auto" w:fill="FFFFFF"/>
        <w:spacing w:line="270" w:lineRule="atLeast"/>
        <w:rPr>
          <w:rFonts w:ascii="Arial" w:hAnsi="Arial" w:cs="Arial"/>
          <w:i/>
          <w:iCs/>
          <w:color w:val="333333"/>
          <w:sz w:val="18"/>
          <w:szCs w:val="18"/>
        </w:rPr>
      </w:pPr>
      <w:r>
        <w:t>           </w:t>
      </w:r>
      <w:r>
        <w:rPr>
          <w:rFonts w:ascii="Arial" w:hAnsi="Arial" w:cs="Arial"/>
          <w:color w:val="333333"/>
          <w:sz w:val="18"/>
          <w:szCs w:val="18"/>
        </w:rPr>
        <w:t>Д-т с/ка 401 </w:t>
      </w:r>
      <w:r>
        <w:rPr>
          <w:rFonts w:ascii="Arial" w:hAnsi="Arial" w:cs="Arial"/>
          <w:i/>
          <w:iCs/>
          <w:color w:val="333333"/>
          <w:sz w:val="18"/>
          <w:szCs w:val="18"/>
        </w:rPr>
        <w:t>Разходи за външни услуги </w:t>
      </w:r>
      <w:r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color w:val="333333"/>
          <w:sz w:val="18"/>
          <w:szCs w:val="18"/>
        </w:rPr>
        <w:t>             Д-т с/ка 401 </w:t>
      </w:r>
      <w:r>
        <w:rPr>
          <w:rFonts w:ascii="Arial" w:hAnsi="Arial" w:cs="Arial"/>
          <w:i/>
          <w:iCs/>
          <w:color w:val="333333"/>
          <w:sz w:val="18"/>
          <w:szCs w:val="18"/>
        </w:rPr>
        <w:t>Начислен данък за покупките</w:t>
      </w:r>
      <w:r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>
        <w:rPr>
          <w:rFonts w:ascii="Arial" w:hAnsi="Arial" w:cs="Arial"/>
          <w:color w:val="333333"/>
          <w:sz w:val="18"/>
          <w:szCs w:val="18"/>
        </w:rPr>
        <w:t>             К-т с/ка 503 </w:t>
      </w:r>
      <w:r>
        <w:rPr>
          <w:rFonts w:ascii="Arial" w:hAnsi="Arial" w:cs="Arial"/>
          <w:i/>
          <w:iCs/>
          <w:color w:val="333333"/>
          <w:sz w:val="18"/>
          <w:szCs w:val="18"/>
        </w:rPr>
        <w:t>Разплащателна сметка в левове;</w:t>
      </w:r>
    </w:p>
    <w:p w:rsidR="00BA633D" w:rsidRDefault="00BA633D" w:rsidP="00BA633D">
      <w:pPr>
        <w:shd w:val="clear" w:color="auto" w:fill="FFFFFF"/>
        <w:spacing w:line="270" w:lineRule="atLeast"/>
        <w:rPr>
          <w:rFonts w:ascii="Arial" w:hAnsi="Arial" w:cs="Arial"/>
          <w:i/>
          <w:iCs/>
          <w:color w:val="333333"/>
          <w:sz w:val="18"/>
          <w:szCs w:val="18"/>
          <w:lang w:val="en-US"/>
        </w:rPr>
      </w:pPr>
    </w:p>
    <w:p w:rsidR="00BA633D" w:rsidRDefault="00E842C8" w:rsidP="00BA633D">
      <w:pPr>
        <w:rPr>
          <w:rFonts w:ascii="Calibri" w:hAnsi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</w:t>
      </w:r>
      <w:r w:rsidR="00BA633D">
        <w:rPr>
          <w:sz w:val="28"/>
          <w:szCs w:val="28"/>
          <w:u w:val="single"/>
        </w:rPr>
        <w:t xml:space="preserve">∙ Втори етап: </w:t>
      </w:r>
    </w:p>
    <w:p w:rsidR="00BA633D" w:rsidRDefault="00BA633D" w:rsidP="00BA633D">
      <w:pPr>
        <w:rPr>
          <w:b/>
          <w:bCs/>
          <w:sz w:val="22"/>
          <w:szCs w:val="22"/>
        </w:rPr>
      </w:pPr>
      <w:r>
        <w:rPr>
          <w:b/>
          <w:bCs/>
        </w:rPr>
        <w:t>      -Начисляване на разхода за ваучери храна</w:t>
      </w:r>
    </w:p>
    <w:p w:rsidR="00BA633D" w:rsidRDefault="00E842C8" w:rsidP="00BA633D">
      <w:pPr>
        <w:shd w:val="clear" w:color="auto" w:fill="FFFFFF"/>
        <w:spacing w:after="24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    </w:t>
      </w:r>
      <w:r w:rsidR="00BA633D">
        <w:rPr>
          <w:rFonts w:ascii="Arial" w:hAnsi="Arial" w:cs="Arial"/>
          <w:color w:val="333333"/>
          <w:sz w:val="18"/>
          <w:szCs w:val="18"/>
        </w:rPr>
        <w:t>Д-т с/ка 604 / под-сметка ваучери за храна/ </w:t>
      </w:r>
      <w:r w:rsidR="00BA633D">
        <w:rPr>
          <w:rFonts w:ascii="Arial" w:hAnsi="Arial" w:cs="Arial"/>
          <w:i/>
          <w:iCs/>
          <w:color w:val="333333"/>
          <w:sz w:val="18"/>
          <w:szCs w:val="18"/>
        </w:rPr>
        <w:t>Разходи по икономически елементи </w:t>
      </w:r>
      <w:r w:rsidR="00BA633D">
        <w:rPr>
          <w:rFonts w:ascii="Arial" w:hAnsi="Arial" w:cs="Arial"/>
          <w:i/>
          <w:iCs/>
          <w:color w:val="333333"/>
          <w:sz w:val="18"/>
          <w:szCs w:val="18"/>
          <w:bdr w:val="none" w:sz="0" w:space="0" w:color="auto" w:frame="1"/>
        </w:rPr>
        <w:br/>
      </w:r>
      <w:r w:rsidR="00BA633D">
        <w:rPr>
          <w:rFonts w:ascii="Arial" w:hAnsi="Arial" w:cs="Arial"/>
          <w:color w:val="333333"/>
          <w:sz w:val="18"/>
          <w:szCs w:val="18"/>
        </w:rPr>
        <w:t>             К-т с/ка 421 </w:t>
      </w:r>
      <w:r w:rsidR="00BA633D">
        <w:rPr>
          <w:rFonts w:ascii="Arial" w:hAnsi="Arial" w:cs="Arial"/>
          <w:i/>
          <w:iCs/>
          <w:color w:val="333333"/>
          <w:sz w:val="18"/>
          <w:szCs w:val="18"/>
        </w:rPr>
        <w:t>Персонал</w:t>
      </w:r>
    </w:p>
    <w:p w:rsidR="00BA633D" w:rsidRDefault="00BA633D" w:rsidP="00BA633D">
      <w:pPr>
        <w:shd w:val="clear" w:color="auto" w:fill="FFFFFF"/>
        <w:spacing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b/>
          <w:bCs/>
        </w:rPr>
        <w:t xml:space="preserve">      -Ефективно предоставяне на ваучерите </w:t>
      </w:r>
      <w:r>
        <w:rPr>
          <w:rFonts w:ascii="Arial" w:hAnsi="Arial" w:cs="Arial"/>
          <w:b/>
          <w:bCs/>
          <w:color w:val="333333"/>
          <w:sz w:val="18"/>
          <w:szCs w:val="18"/>
        </w:rPr>
        <w:t>за разпределение между наетите лица и отчитането им като социални разходи:</w:t>
      </w:r>
    </w:p>
    <w:p w:rsidR="00BA633D" w:rsidRDefault="00E842C8" w:rsidP="00BA633D">
      <w:pPr>
        <w:rPr>
          <w:rFonts w:ascii="Calibri" w:hAnsi="Calibri"/>
          <w:sz w:val="22"/>
          <w:szCs w:val="22"/>
        </w:rPr>
      </w:pPr>
      <w:r>
        <w:t>         </w:t>
      </w:r>
      <w:r w:rsidR="00BA633D">
        <w:t xml:space="preserve"> </w:t>
      </w:r>
      <w:r w:rsidR="00BA633D">
        <w:rPr>
          <w:rFonts w:ascii="Arial" w:hAnsi="Arial" w:cs="Arial"/>
          <w:color w:val="333333"/>
          <w:sz w:val="18"/>
          <w:szCs w:val="18"/>
        </w:rPr>
        <w:t> Д-т с/ка 421</w:t>
      </w:r>
    </w:p>
    <w:p w:rsidR="00BA633D" w:rsidRDefault="00E842C8" w:rsidP="00BA633D">
      <w:r>
        <w:t>           </w:t>
      </w:r>
      <w:r w:rsidR="00BA633D">
        <w:rPr>
          <w:rFonts w:ascii="Arial" w:hAnsi="Arial" w:cs="Arial"/>
          <w:color w:val="333333"/>
          <w:sz w:val="18"/>
          <w:szCs w:val="18"/>
        </w:rPr>
        <w:t>К-т с/ка 509 </w:t>
      </w:r>
      <w:r w:rsidR="00BA633D">
        <w:t xml:space="preserve"> / ваучери</w:t>
      </w:r>
    </w:p>
    <w:p w:rsidR="00BA633D" w:rsidRDefault="00BA633D" w:rsidP="00BA633D"/>
    <w:p w:rsidR="00AB47C0" w:rsidRDefault="00AB47C0"/>
    <w:sectPr w:rsidR="00AB47C0" w:rsidSect="00AB4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E616B"/>
    <w:multiLevelType w:val="multilevel"/>
    <w:tmpl w:val="0D10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33D"/>
    <w:rsid w:val="00000262"/>
    <w:rsid w:val="001063DE"/>
    <w:rsid w:val="002B2012"/>
    <w:rsid w:val="00362B83"/>
    <w:rsid w:val="00615491"/>
    <w:rsid w:val="009141C2"/>
    <w:rsid w:val="00AB47C0"/>
    <w:rsid w:val="00AC5304"/>
    <w:rsid w:val="00BA633D"/>
    <w:rsid w:val="00E8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33D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firstline">
    <w:name w:val="firstline"/>
    <w:basedOn w:val="Normal"/>
    <w:rsid w:val="00AC530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ADimitrova</dc:creator>
  <cp:lastModifiedBy>adimitrova</cp:lastModifiedBy>
  <cp:revision>3</cp:revision>
  <dcterms:created xsi:type="dcterms:W3CDTF">2016-10-26T09:57:00Z</dcterms:created>
  <dcterms:modified xsi:type="dcterms:W3CDTF">2017-02-14T07:34:00Z</dcterms:modified>
</cp:coreProperties>
</file>