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1920" w:rsidRPr="00971920" w:rsidRDefault="00971920" w:rsidP="0097192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bg-BG"/>
        </w:rPr>
      </w:pPr>
      <w:r w:rsidRPr="00971920">
        <w:rPr>
          <w:rFonts w:ascii="Times New Roman" w:eastAsia="Times New Roman" w:hAnsi="Times New Roman" w:cs="Times New Roman"/>
          <w:b/>
          <w:bCs/>
          <w:sz w:val="36"/>
          <w:szCs w:val="36"/>
          <w:lang w:eastAsia="bg-BG"/>
        </w:rPr>
        <w:t>Промените в ЗСч, в сила от 01.01.2019 г.</w:t>
      </w:r>
    </w:p>
    <w:p w:rsidR="00971920" w:rsidRPr="00971920" w:rsidRDefault="00971920" w:rsidP="009719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1920">
        <w:rPr>
          <w:rFonts w:ascii="Times New Roman" w:eastAsia="Times New Roman" w:hAnsi="Times New Roman" w:cs="Times New Roman"/>
          <w:sz w:val="20"/>
          <w:szCs w:val="20"/>
          <w:lang w:eastAsia="bg-BG"/>
        </w:rPr>
        <w:t>02 декември, 2018</w:t>
      </w: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</w:p>
    <w:p w:rsidR="00971920" w:rsidRPr="00971920" w:rsidRDefault="00971920" w:rsidP="0097192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1920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Промените в Закона за счетоводството, в сила от 01. 01. 2019 г.</w:t>
      </w:r>
    </w:p>
    <w:p w:rsidR="00971920" w:rsidRPr="00971920" w:rsidRDefault="00971920" w:rsidP="0097192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192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(обзор)</w:t>
      </w:r>
    </w:p>
    <w:p w:rsidR="00971920" w:rsidRPr="00971920" w:rsidRDefault="00971920" w:rsidP="0097192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971920" w:rsidRPr="00971920" w:rsidRDefault="00971920" w:rsidP="0097192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1920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 xml:space="preserve">Христо Досев, д.е.с. регистриран </w:t>
      </w:r>
      <w:proofErr w:type="spellStart"/>
      <w:r w:rsidRPr="00971920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одитор</w:t>
      </w:r>
      <w:proofErr w:type="spellEnd"/>
      <w:r w:rsidRPr="00971920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 xml:space="preserve"> </w:t>
      </w:r>
    </w:p>
    <w:p w:rsidR="00971920" w:rsidRPr="00971920" w:rsidRDefault="00971920" w:rsidP="009719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971920" w:rsidRPr="00971920" w:rsidRDefault="00971920" w:rsidP="009719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971920" w:rsidRPr="00971920" w:rsidRDefault="00971920" w:rsidP="009719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В ДВ, бр. 98 от 27.11.2018 г. със </w:t>
      </w:r>
      <w:hyperlink r:id="rId5" w:history="1">
        <w:r w:rsidRPr="00971920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  <w:lang w:eastAsia="bg-BG"/>
          </w:rPr>
          <w:t>Закон за изменение и допълнение на Закона за корпоративното подоходно облагане</w:t>
        </w:r>
      </w:hyperlink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(ЗИД ЗКПО) се направиха изменения и допълнения в </w:t>
      </w:r>
      <w:r w:rsidRPr="00971920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Закона за счетоводството </w:t>
      </w: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(ЗСч) - </w:t>
      </w:r>
      <w:r w:rsidRPr="00971920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от § 54 до § 56</w:t>
      </w: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>, в сила от 01. 01.2019 г.</w:t>
      </w:r>
    </w:p>
    <w:p w:rsidR="00971920" w:rsidRPr="00971920" w:rsidRDefault="00971920" w:rsidP="009719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971920" w:rsidRDefault="00971920" w:rsidP="009719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>Направени са следните промени:</w:t>
      </w:r>
    </w:p>
    <w:p w:rsidR="00971920" w:rsidRPr="00971920" w:rsidRDefault="00971920" w:rsidP="009719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971920" w:rsidRPr="00971920" w:rsidRDefault="00971920" w:rsidP="009719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  <w:r w:rsidRPr="00971920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Отпада </w:t>
      </w: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изискването за поставяне на </w:t>
      </w:r>
      <w:r w:rsidRPr="0097192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печата на отчитащото</w:t>
      </w:r>
      <w:r w:rsidRPr="00971920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 xml:space="preserve"> </w:t>
      </w:r>
      <w:r w:rsidRPr="0097192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се предприятие</w:t>
      </w: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и </w:t>
      </w:r>
      <w:r w:rsidRPr="0097192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печата на предприятието съставител</w:t>
      </w: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върху изготвяните от него финансови отчети, поради липсата на изискване за фирмен печат в нормативните документи, регламентиращи:</w:t>
      </w:r>
    </w:p>
    <w:p w:rsidR="00971920" w:rsidRPr="00971920" w:rsidRDefault="00971920" w:rsidP="009719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>-   създаването на търговско дружество в правния мир (ТЗ, ЗЗД);</w:t>
      </w:r>
    </w:p>
    <w:p w:rsidR="00971920" w:rsidRPr="00971920" w:rsidRDefault="00971920" w:rsidP="009719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>-   сключване на търговски сделки (ТЗ, ЗЗД);</w:t>
      </w:r>
    </w:p>
    <w:p w:rsidR="00971920" w:rsidRPr="00971920" w:rsidRDefault="00971920" w:rsidP="009719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>-   подаване на данъчни декларации (ЗКПО, ЗДДФЛ, ЗМДТ) или</w:t>
      </w:r>
    </w:p>
    <w:p w:rsidR="00971920" w:rsidRPr="00971920" w:rsidRDefault="00971920" w:rsidP="009719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>-   друга нормативна база, регламентираща осъществяването на независима икономическа дейност на предприятията.</w:t>
      </w:r>
    </w:p>
    <w:p w:rsidR="00971920" w:rsidRPr="00971920" w:rsidRDefault="00971920" w:rsidP="0097192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Уточнява се, че </w:t>
      </w:r>
      <w:r w:rsidRPr="00971920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в ГФО се вписват имената</w:t>
      </w: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(т.е. собственото, бащиното и фамилното име):</w:t>
      </w:r>
    </w:p>
    <w:p w:rsidR="00971920" w:rsidRPr="00971920" w:rsidRDefault="00971920" w:rsidP="009719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-   на </w:t>
      </w:r>
      <w:r w:rsidRPr="0097192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ръководителя на предприятието</w:t>
      </w: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и</w:t>
      </w:r>
    </w:p>
    <w:p w:rsidR="00971920" w:rsidRPr="00971920" w:rsidRDefault="00971920" w:rsidP="009719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-   на </w:t>
      </w:r>
      <w:r w:rsidRPr="0097192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съставителя на финансовия отчет</w:t>
      </w: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>, вкл. управителя на счетоводното предприятие, когато последното е съставител на финансовия отчет.</w:t>
      </w:r>
    </w:p>
    <w:p w:rsidR="00971920" w:rsidRPr="00971920" w:rsidRDefault="00971920" w:rsidP="0097192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Една от </w:t>
      </w:r>
      <w:r w:rsidRPr="00971920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най-концептуалните и съществените промени се свързва с прилагането на приложимите счетоводни бази: </w:t>
      </w:r>
    </w:p>
    <w:p w:rsidR="00971920" w:rsidRPr="00971920" w:rsidRDefault="00971920" w:rsidP="009719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>-   Национални счетоводни стандарти (НСС) и</w:t>
      </w:r>
    </w:p>
    <w:p w:rsidR="00971920" w:rsidRPr="00971920" w:rsidRDefault="00971920" w:rsidP="009719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-   Международни счетоводни стандарти (МСС/МСФО). </w:t>
      </w:r>
    </w:p>
    <w:p w:rsidR="00971920" w:rsidRPr="00971920" w:rsidRDefault="00971920" w:rsidP="009719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971920" w:rsidRPr="00971920" w:rsidRDefault="00971920" w:rsidP="009719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1920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Преди промяната</w:t>
      </w: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на ЗСч.,</w:t>
      </w:r>
    </w:p>
    <w:p w:rsidR="00971920" w:rsidRPr="00971920" w:rsidRDefault="00971920" w:rsidP="009719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971920" w:rsidRPr="00971920" w:rsidRDefault="00971920" w:rsidP="009719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1920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-   МСФО </w:t>
      </w: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бе задължителна счетоводна база за съставяне и представяне на ГФО единствено за </w:t>
      </w:r>
      <w:r w:rsidRPr="0097192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 xml:space="preserve">предприятията от обществен интерес </w:t>
      </w: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по силата на </w:t>
      </w:r>
      <w:hyperlink r:id="rId6" w:anchor="zsch_dr_1_t_22" w:history="1">
        <w:r w:rsidRPr="0097192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§ 1, т. 22</w:t>
        </w:r>
      </w:hyperlink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от ДР на ЗСч., а</w:t>
      </w:r>
    </w:p>
    <w:p w:rsidR="00971920" w:rsidRPr="00971920" w:rsidRDefault="00971920" w:rsidP="009719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-   базата за изготвяне на ГФО на </w:t>
      </w:r>
      <w:proofErr w:type="spellStart"/>
      <w:r w:rsidRPr="0097192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микро</w:t>
      </w:r>
      <w:proofErr w:type="spellEnd"/>
      <w:r w:rsidRPr="0097192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 xml:space="preserve">, малките, средните и големите предприятия </w:t>
      </w: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бе </w:t>
      </w:r>
      <w:r w:rsidRPr="00971920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НСС</w:t>
      </w: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:rsidR="00971920" w:rsidRPr="00971920" w:rsidRDefault="00971920" w:rsidP="009719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971920" w:rsidRPr="00971920" w:rsidRDefault="00971920" w:rsidP="009719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В този смисъл до момента </w:t>
      </w:r>
      <w:hyperlink r:id="rId7" w:anchor="zsch_pzr_8" w:history="1">
        <w:r w:rsidRPr="0097192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§ 8</w:t>
        </w:r>
      </w:hyperlink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и </w:t>
      </w:r>
      <w:hyperlink r:id="rId8" w:anchor="zsch_pzr_11" w:history="1">
        <w:r w:rsidRPr="0097192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§ 11</w:t>
        </w:r>
      </w:hyperlink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от ПЗР на Закона за счетоводството бяха особено важни, тъй като регламентираха </w:t>
      </w:r>
      <w:r w:rsidRPr="0097192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доброволното преминаване от МСФО към НСС по следния начин</w:t>
      </w: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>:</w:t>
      </w:r>
    </w:p>
    <w:p w:rsidR="00971920" w:rsidRPr="00971920" w:rsidRDefault="00971920" w:rsidP="0097192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proofErr w:type="spellStart"/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>Микро</w:t>
      </w:r>
      <w:proofErr w:type="spellEnd"/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малки и средните предприятия, които до 2015 година са изготвяли ГФО на база МСФО, </w:t>
      </w:r>
      <w:r w:rsidRPr="00971920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еднократно – считано от 01.01.2016 г.</w:t>
      </w: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:rsidR="00971920" w:rsidRPr="00971920" w:rsidRDefault="00971920" w:rsidP="0097192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Големи предприятия, които за 2016 година са длъжни да изготвят своите финансови отчети на база МСФО, </w:t>
      </w:r>
      <w:r w:rsidRPr="00971920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еднократно - считано от 01.01.2017 г.</w:t>
      </w: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:rsidR="00971920" w:rsidRPr="00971920" w:rsidRDefault="00971920" w:rsidP="009719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Посредством </w:t>
      </w:r>
      <w:r w:rsidRPr="00971920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промяната на </w:t>
      </w:r>
      <w:hyperlink r:id="rId9" w:anchor="zsch_chl_34" w:history="1">
        <w:r w:rsidRPr="00971920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bg-BG"/>
          </w:rPr>
          <w:t>чл. 34</w:t>
        </w:r>
      </w:hyperlink>
      <w:r w:rsidRPr="00971920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от ЗСч, </w:t>
      </w:r>
      <w:r w:rsidRPr="0097192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коренно се преобръща</w:t>
      </w:r>
      <w:r w:rsidRPr="00971920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концепцията за повсеместното прилагане на МСФО като счетоводна база</w:t>
      </w: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за съставяне и представяне на финансови отчети, тъй като новия текст на </w:t>
      </w:r>
      <w:hyperlink r:id="rId10" w:anchor="zsch_chl_34" w:history="1">
        <w:r w:rsidRPr="0097192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чл. 34, ал. 1</w:t>
        </w:r>
      </w:hyperlink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от счетоводният закон постановява, че </w:t>
      </w:r>
      <w:r w:rsidRPr="00971920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предприятията съставят </w:t>
      </w:r>
      <w:r w:rsidRPr="0097192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финансовите си отчети на база НСС</w:t>
      </w:r>
      <w:r w:rsidRPr="00971920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. </w:t>
      </w:r>
    </w:p>
    <w:p w:rsidR="00971920" w:rsidRPr="00971920" w:rsidRDefault="00971920" w:rsidP="009719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1920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 </w:t>
      </w:r>
    </w:p>
    <w:p w:rsidR="00971920" w:rsidRPr="00971920" w:rsidRDefault="00971920" w:rsidP="009719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В същото време на основание новия текст на </w:t>
      </w:r>
      <w:hyperlink r:id="rId11" w:anchor="zsch_chl_34" w:history="1">
        <w:r w:rsidRPr="0097192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чл. 34, ал. 2</w:t>
        </w:r>
      </w:hyperlink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от ЗСч, </w:t>
      </w:r>
      <w:r w:rsidRPr="00971920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МСФО </w:t>
      </w: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>ще бъдат</w:t>
      </w:r>
      <w:r w:rsidRPr="00971920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задължителна счетоводна база</w:t>
      </w: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единствено за </w:t>
      </w:r>
      <w:r w:rsidRPr="0097192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консолидираните</w:t>
      </w:r>
      <w:r w:rsidRPr="00971920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финансови отчети на предприятията, </w:t>
      </w:r>
      <w:r w:rsidRPr="00971920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чиито </w:t>
      </w:r>
      <w:proofErr w:type="spellStart"/>
      <w:r w:rsidRPr="00971920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прехвърлими</w:t>
      </w:r>
      <w:proofErr w:type="spellEnd"/>
      <w:r w:rsidRPr="00971920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ценни книжа са допуснати за търговия на регулиран пазар в държава-членка на ЕС.</w:t>
      </w:r>
    </w:p>
    <w:p w:rsidR="00971920" w:rsidRPr="00971920" w:rsidRDefault="00971920" w:rsidP="009719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971920" w:rsidRPr="00971920" w:rsidRDefault="00971920" w:rsidP="009719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 други думи новото счетоводно законодателство допуска </w:t>
      </w:r>
      <w:r w:rsidRPr="00971920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индивидуалните ГФО на всички предприятия да бъдат съставени на база НСС</w:t>
      </w: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:rsidR="00971920" w:rsidRPr="00971920" w:rsidRDefault="00971920" w:rsidP="009719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971920" w:rsidRPr="00971920" w:rsidRDefault="00971920" w:rsidP="009719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>В ЗСч. (</w:t>
      </w:r>
      <w:hyperlink r:id="rId12" w:anchor="zsch_chl_34" w:history="1">
        <w:r w:rsidRPr="0097192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чл. 34, ал. 3</w:t>
        </w:r>
      </w:hyperlink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>) остава възможността предприятията доброволно да възприемат МСФО като свое счетоводна база за съставяне и представяне на ГФО.</w:t>
      </w:r>
    </w:p>
    <w:p w:rsidR="00971920" w:rsidRPr="00971920" w:rsidRDefault="00971920" w:rsidP="009719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971920" w:rsidRPr="00971920" w:rsidRDefault="00971920" w:rsidP="009719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>В тази връзка ЗСч. регламентира един по-свободен и времево неограничаван преход от МСФО към НСС.</w:t>
      </w:r>
    </w:p>
    <w:p w:rsidR="00971920" w:rsidRPr="00971920" w:rsidRDefault="00971920" w:rsidP="009719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971920" w:rsidRPr="00971920" w:rsidRDefault="00971920" w:rsidP="009719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Посредством новия </w:t>
      </w:r>
      <w:hyperlink r:id="rId13" w:anchor="zsch_chl_34" w:history="1">
        <w:r w:rsidRPr="0097192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чл. 34, ал. 4</w:t>
        </w:r>
      </w:hyperlink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r w:rsidRPr="00971920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промяната на счетоводната база от МСФО към НСС може да се осъществи без наличието на каквото и да е било ограничение във времето</w:t>
      </w: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:rsidR="00971920" w:rsidRPr="00971920" w:rsidRDefault="00971920" w:rsidP="009719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971920" w:rsidRPr="00971920" w:rsidRDefault="00971920" w:rsidP="009719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Това означава, че онези предприятия, които през 2017 г. са съставяли своите финансови отчети на база МСФО, могат в който и да е бъдещ финансов период, да преминат към НСС като своя счетоводна база. </w:t>
      </w:r>
      <w:r w:rsidRPr="00971920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Нещо повече, на основание </w:t>
      </w:r>
      <w:hyperlink r:id="rId14" w:anchor="zsch_pzr_2018_98_56" w:history="1">
        <w:r w:rsidRPr="00971920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bg-BG"/>
          </w:rPr>
          <w:t xml:space="preserve">§ 56 </w:t>
        </w:r>
      </w:hyperlink>
      <w:r w:rsidRPr="00971920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от ЗИД на ЗКПО, този преход на счетоводната база</w:t>
      </w: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по реда на </w:t>
      </w:r>
      <w:hyperlink r:id="rId15" w:anchor="zsch_chl_34" w:history="1">
        <w:r w:rsidRPr="0097192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чл. 34, ал. 4</w:t>
        </w:r>
      </w:hyperlink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от Закона за счетоводството </w:t>
      </w:r>
      <w:r w:rsidRPr="0097192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може да бъде осъществен още при съставянето на ГФО за 2018 г.</w:t>
      </w:r>
    </w:p>
    <w:p w:rsidR="00971920" w:rsidRPr="00971920" w:rsidRDefault="00971920" w:rsidP="009719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971920" w:rsidRPr="00971920" w:rsidRDefault="00971920" w:rsidP="009719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Следва да се има предвид, че </w:t>
      </w:r>
      <w:r w:rsidRPr="00971920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промяната на счетоводната база</w:t>
      </w: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(от НСС към МСФО или обратно) може да се направи </w:t>
      </w:r>
      <w:r w:rsidRPr="00971920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по всяко едно време</w:t>
      </w: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но разпоредбата на </w:t>
      </w:r>
      <w:hyperlink r:id="rId16" w:anchor="zsch_chl_34" w:history="1">
        <w:r w:rsidRPr="0097192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чл. 34, ал. 5</w:t>
        </w:r>
      </w:hyperlink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от ЗСч. </w:t>
      </w:r>
      <w:r w:rsidRPr="00971920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не допуска подобна промяна</w:t>
      </w: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да се извърши </w:t>
      </w:r>
      <w:r w:rsidRPr="0097192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повече от веднъж</w:t>
      </w: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:rsidR="00971920" w:rsidRPr="00971920" w:rsidRDefault="00971920" w:rsidP="009719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971920" w:rsidRPr="00971920" w:rsidRDefault="00971920" w:rsidP="0097192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По силата на стария текст на закона, действащ до 31.12.2018 г., годишните и консолидирани </w:t>
      </w:r>
      <w:r w:rsidRPr="00971920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финансови отчети на акционерните дружества (АД) и на командитните дружества с акции (КДА)</w:t>
      </w: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подлежаха на задължителен независим финансов одит, като изключения се предвиждаха само за онези АД и КДА, когато за съответния отчетен период не са осъществявали дейност по смисъла на </w:t>
      </w:r>
      <w:hyperlink r:id="rId17" w:anchor="zsch_dr_1_t_30" w:history="1">
        <w:r w:rsidRPr="0097192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§ 1, т. 30</w:t>
        </w:r>
      </w:hyperlink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от ДР на ЗСч.</w:t>
      </w:r>
    </w:p>
    <w:p w:rsidR="00971920" w:rsidRPr="00971920" w:rsidRDefault="00971920" w:rsidP="009719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Промяната на </w:t>
      </w:r>
      <w:hyperlink r:id="rId18" w:anchor="zsch_chl_37" w:history="1">
        <w:r w:rsidRPr="0097192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чл. 37, ал. 2</w:t>
        </w:r>
      </w:hyperlink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от ЗСч. се изразява в това, че </w:t>
      </w:r>
      <w:r w:rsidRPr="00971920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финансовите отчети на АД и КДА, изготвени за периоди, започващи на или след 01.01.2019 г. вече </w:t>
      </w:r>
      <w:r w:rsidRPr="0097192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 xml:space="preserve">няма </w:t>
      </w:r>
      <w:r w:rsidRPr="00971920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да подлежат на задължителен независим финансов одит</w:t>
      </w: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при условие, че </w:t>
      </w:r>
      <w:r w:rsidRPr="0097192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 xml:space="preserve">към 31 </w:t>
      </w:r>
      <w:r w:rsidRPr="0097192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lastRenderedPageBreak/>
        <w:t>декември</w:t>
      </w: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на съответната финансова година, </w:t>
      </w:r>
      <w:r w:rsidRPr="00971920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без оглед дали са квалифицирани като </w:t>
      </w:r>
      <w:proofErr w:type="spellStart"/>
      <w:r w:rsidRPr="00971920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микро</w:t>
      </w:r>
      <w:proofErr w:type="spellEnd"/>
      <w:r w:rsidRPr="00971920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, малко, средно или голямо предприятие</w:t>
      </w: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r w:rsidRPr="0097192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не надвишават най-малко два</w:t>
      </w: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от следните </w:t>
      </w:r>
      <w:r w:rsidRPr="00971920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три критерия</w:t>
      </w: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регламентирани в </w:t>
      </w:r>
      <w:hyperlink r:id="rId19" w:anchor="zsch_chl_19" w:history="1">
        <w:r w:rsidRPr="0097192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чл. 19, ал. 2</w:t>
        </w:r>
      </w:hyperlink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от ЗСч.:</w:t>
      </w:r>
    </w:p>
    <w:p w:rsidR="00971920" w:rsidRPr="00971920" w:rsidRDefault="00971920" w:rsidP="009719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971920" w:rsidRPr="00971920" w:rsidRDefault="00971920" w:rsidP="0097192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1920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Балансова стойност на активите</w:t>
      </w: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– 700 000 лева;</w:t>
      </w:r>
    </w:p>
    <w:p w:rsidR="00971920" w:rsidRPr="00971920" w:rsidRDefault="00971920" w:rsidP="0097192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1920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Нетни приходи от продажби</w:t>
      </w: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по смисъла на </w:t>
      </w:r>
      <w:hyperlink r:id="rId20" w:anchor="zsch_dr_1_t_11" w:history="1">
        <w:r w:rsidRPr="0097192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§ 1, т. 11</w:t>
        </w:r>
      </w:hyperlink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от ДР на ЗСч. – 1 400 000 лева;</w:t>
      </w:r>
    </w:p>
    <w:p w:rsidR="00971920" w:rsidRPr="00971920" w:rsidRDefault="00971920" w:rsidP="0097192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1920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Средна численост на персонала</w:t>
      </w: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за отчетния период – 10 души.</w:t>
      </w:r>
    </w:p>
    <w:p w:rsidR="00971920" w:rsidRPr="00971920" w:rsidRDefault="00971920" w:rsidP="0097192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Налице е </w:t>
      </w:r>
      <w:r w:rsidRPr="00971920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редакционна промяна в </w:t>
      </w:r>
      <w:hyperlink r:id="rId21" w:anchor="zsch_chl_38" w:history="1">
        <w:r w:rsidRPr="00971920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bg-BG"/>
          </w:rPr>
          <w:t>чл. 38, ал. 1, т. 2</w:t>
        </w:r>
      </w:hyperlink>
      <w:r w:rsidRPr="00971920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от ЗСч</w:t>
      </w: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>., свързана със създаването на регистър на ЮЛНЦ към Агенцията по вписванията, в който регистър следва да се публикуват</w:t>
      </w:r>
      <w:r w:rsidRPr="0097192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 xml:space="preserve"> ГФО на всички ЮЛНЦ </w:t>
      </w: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>– както тези, регистрирани в обществена полза, така и тези, регистрирани в частна полза.</w:t>
      </w:r>
    </w:p>
    <w:p w:rsidR="00971920" w:rsidRPr="00971920" w:rsidRDefault="00971920" w:rsidP="00971920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Изменението в </w:t>
      </w:r>
      <w:hyperlink r:id="rId22" w:anchor="zsch_chl_38" w:history="1">
        <w:r w:rsidRPr="0097192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чл. 38, ал. 4</w:t>
        </w:r>
      </w:hyperlink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дава еднозначен отговор на това, че </w:t>
      </w:r>
      <w:r w:rsidRPr="00971920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малките предприятия, чиито ГФО не подлежи на задължителен независим финансов одит</w:t>
      </w: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r w:rsidRPr="00971920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имат право да </w:t>
      </w: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>изберат като минимум</w:t>
      </w:r>
      <w:r w:rsidRPr="00971920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да публикуват</w:t>
      </w: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 Търговския регистър и регистъра на ЮЛНЦ:</w:t>
      </w:r>
      <w:r w:rsidRPr="00971920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 xml:space="preserve"> </w:t>
      </w:r>
    </w:p>
    <w:p w:rsidR="00971920" w:rsidRPr="00971920" w:rsidRDefault="00971920" w:rsidP="009719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-   </w:t>
      </w:r>
      <w:r w:rsidRPr="00971920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счетоводен баланс (НСС) или съответно отчет за финансовото състояние</w:t>
      </w: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(МСФО) и</w:t>
      </w:r>
    </w:p>
    <w:p w:rsidR="00971920" w:rsidRPr="00971920" w:rsidRDefault="00971920" w:rsidP="009719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-   </w:t>
      </w:r>
      <w:r w:rsidRPr="00971920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приложение към ГФО</w:t>
      </w: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>,</w:t>
      </w:r>
    </w:p>
    <w:p w:rsidR="00971920" w:rsidRPr="00971920" w:rsidRDefault="00971920" w:rsidP="009719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971920" w:rsidRPr="00971920" w:rsidRDefault="00971920" w:rsidP="009719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доколкото </w:t>
      </w:r>
      <w:hyperlink r:id="rId23" w:anchor="zsch_chl_29" w:history="1">
        <w:r w:rsidRPr="0097192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чл. 29, ал. 1</w:t>
        </w:r>
      </w:hyperlink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(по отношение на ГФО за всички предприятия, които не са избрали да съставят пълен комплект финансови отчети на база приложимите счетоводни стандарти) и </w:t>
      </w:r>
      <w:hyperlink r:id="rId24" w:anchor="zsch_chl_29" w:history="1">
        <w:r w:rsidRPr="0097192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чл. 29, ал. 6</w:t>
        </w:r>
      </w:hyperlink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(по отношение на малките предприятия, избрали да съставят ГФО, състоящ се от съкратен баланс по раздели и групи, съкратен отчет за приходите и разходите и приложение) изискват от малките предприятия да изготвят </w:t>
      </w:r>
      <w:r w:rsidRPr="00971920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приложение като част от ГФО</w:t>
      </w: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:rsidR="00971920" w:rsidRPr="00971920" w:rsidRDefault="00971920" w:rsidP="009719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971920" w:rsidRPr="00971920" w:rsidRDefault="00971920" w:rsidP="009719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1920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Предприятията, които </w:t>
      </w:r>
      <w:r w:rsidRPr="0097192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не са осъществявали дейност</w:t>
      </w:r>
      <w:r w:rsidRPr="00971920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през отчетния период</w:t>
      </w: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по смисъла на </w:t>
      </w:r>
      <w:hyperlink r:id="rId25" w:anchor="zsch_dr_1_t_30" w:history="1">
        <w:r w:rsidRPr="0097192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§ 1, т. 30</w:t>
        </w:r>
      </w:hyperlink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от ДР на ЗСч. и които на основание </w:t>
      </w:r>
      <w:hyperlink r:id="rId26" w:anchor="zsch_chl_38" w:history="1">
        <w:r w:rsidRPr="0097192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чл. 38, ал. 9</w:t>
        </w:r>
      </w:hyperlink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97192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нямат задължението да публикуват своите ГФО</w:t>
      </w: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r w:rsidRPr="00971920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декларират това обстоятелство с декларация</w:t>
      </w: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която на основание на </w:t>
      </w:r>
      <w:hyperlink r:id="rId27" w:anchor="zsch_chl_38" w:history="1">
        <w:r w:rsidRPr="0097192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чл. 38, ал. 9, т. 2</w:t>
        </w:r>
      </w:hyperlink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от ЗСч. се публикува</w:t>
      </w:r>
      <w:r w:rsidRPr="00971920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в срок до 31 март на следващата година </w:t>
      </w: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>както следва:</w:t>
      </w:r>
    </w:p>
    <w:p w:rsidR="00971920" w:rsidRPr="00971920" w:rsidRDefault="00971920" w:rsidP="009719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971920" w:rsidRPr="00971920" w:rsidRDefault="00971920" w:rsidP="00971920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192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Търговците по смисъла на ТЗ и ЮЛНЦ</w:t>
      </w: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– в Търговския регистър и регистъра на ЮЛНЦ (такса за публикуване на декларацията не се дължи);</w:t>
      </w:r>
    </w:p>
    <w:p w:rsidR="00971920" w:rsidRPr="00971920" w:rsidRDefault="00971920" w:rsidP="00971920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192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Всички останали предприятия</w:t>
      </w: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– чрез икономическо издание или чрез интернет.</w:t>
      </w:r>
    </w:p>
    <w:p w:rsidR="00971920" w:rsidRPr="00971920" w:rsidRDefault="00971920" w:rsidP="0097192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При изготвянето на </w:t>
      </w:r>
      <w:r w:rsidRPr="00971920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нефинансова декларация по реда на </w:t>
      </w:r>
      <w:hyperlink r:id="rId28" w:anchor="zsch_chl_48" w:history="1">
        <w:r w:rsidRPr="00971920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bg-BG"/>
          </w:rPr>
          <w:t>чл. 48</w:t>
        </w:r>
      </w:hyperlink>
      <w:r w:rsidRPr="00971920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от ЗСч</w:t>
      </w: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се уточнява, че при оповестяване на изискваната информация, отчитащите се предприятия могат да се позовават на </w:t>
      </w:r>
      <w:r w:rsidRPr="00971920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национални</w:t>
      </w: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(основани на нормите на ЕС) или </w:t>
      </w:r>
      <w:r w:rsidRPr="00971920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международни</w:t>
      </w: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рамки, с уточняване именно на конкретно позованата рамка.</w:t>
      </w:r>
    </w:p>
    <w:p w:rsidR="00971920" w:rsidRPr="00971920" w:rsidRDefault="00971920" w:rsidP="00971920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 промените в </w:t>
      </w:r>
      <w:hyperlink r:id="rId29" w:anchor="zsch_chl_57" w:history="1">
        <w:r w:rsidRPr="0097192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чл. 57</w:t>
        </w:r>
      </w:hyperlink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от ЗСч., се уточнява че </w:t>
      </w:r>
      <w:r w:rsidRPr="00971920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предприятията </w:t>
      </w:r>
      <w:r w:rsidRPr="0097192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могат да не изготвят</w:t>
      </w:r>
      <w:r w:rsidRPr="00971920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доклад за плащанията към правителствата</w:t>
      </w: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когато изготвят такъв </w:t>
      </w: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 xml:space="preserve">за третите страни, включени в Приложение към </w:t>
      </w:r>
      <w:hyperlink r:id="rId30" w:history="1">
        <w:r w:rsidRPr="00971920">
          <w:rPr>
            <w:rFonts w:ascii="Times New Roman" w:eastAsia="Times New Roman" w:hAnsi="Times New Roman" w:cs="Times New Roman"/>
            <w:i/>
            <w:iCs/>
            <w:color w:val="0000FF"/>
            <w:sz w:val="24"/>
            <w:szCs w:val="24"/>
            <w:u w:val="single"/>
            <w:lang w:eastAsia="bg-BG"/>
          </w:rPr>
          <w:t>Решение за изпълнение (ЕС) 2016/1910 на Комисията от 28 октомври 2026 година относно еквивалентността на изискванията на някои трети държави за докладване за плащанията към правителства</w:t>
        </w:r>
      </w:hyperlink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 изискванията на </w:t>
      </w:r>
      <w:r w:rsidRPr="00971920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глава 10</w:t>
      </w: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от </w:t>
      </w:r>
      <w:hyperlink r:id="rId31" w:history="1">
        <w:r w:rsidRPr="0097192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Директива 2013/34/ЕС на Европейския парламент и на Съвета</w:t>
        </w:r>
      </w:hyperlink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(ОВ, L 295/82 от 29 октомври 2016 година).</w:t>
      </w:r>
    </w:p>
    <w:p w:rsidR="00971920" w:rsidRPr="00971920" w:rsidRDefault="00971920" w:rsidP="00971920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В </w:t>
      </w:r>
      <w:hyperlink r:id="rId32" w:anchor="zsch_pzr_2018_98_55" w:history="1">
        <w:r w:rsidRPr="0097192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§ 55</w:t>
        </w:r>
      </w:hyperlink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на ЗИД ЗКПО се разписва процедурата, по която онези </w:t>
      </w:r>
      <w:r w:rsidRPr="00971920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ЮЛНЦ, които все още </w:t>
      </w:r>
      <w:r w:rsidRPr="0097192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не са се пререгистрирали</w:t>
      </w:r>
      <w:r w:rsidRPr="00971920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в законово определения срок до 31.12.2020</w:t>
      </w: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г., следва да публикуват своите ГФО за всички отчетни периоди, за които отчетите не са били публикувани както следва:</w:t>
      </w:r>
    </w:p>
    <w:p w:rsidR="00971920" w:rsidRPr="00971920" w:rsidRDefault="00971920" w:rsidP="00971920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в срок </w:t>
      </w:r>
      <w:r w:rsidRPr="00971920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до 30 юни на текущата година</w:t>
      </w: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годишните финансови отчети и докладите за дейността за предходната година – </w:t>
      </w:r>
      <w:r w:rsidRPr="0097192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в икономическо издание или в интернет</w:t>
      </w: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>, когато за лицето не са настъпили условията по т. 2 – 4 по-долу; лицето трябва да осигури свободен безплатен достъп до публикуваните му отчети и доклади и при поискване да посочи мястото, където са публикувани;</w:t>
      </w:r>
    </w:p>
    <w:p w:rsidR="00971920" w:rsidRPr="00971920" w:rsidRDefault="00971920" w:rsidP="00971920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>лицата,</w:t>
      </w:r>
      <w:r w:rsidRPr="00971920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пререгистрирани </w:t>
      </w:r>
      <w:r w:rsidRPr="0097192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в периода от 1 юни 2018 г. до 31 май 2019 г</w:t>
      </w:r>
      <w:r w:rsidRPr="00971920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</w:t>
      </w: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публикуват в срок </w:t>
      </w:r>
      <w:r w:rsidRPr="00971920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до 30 юни на 2019</w:t>
      </w: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971920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г.</w:t>
      </w: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отчетите </w:t>
      </w:r>
      <w:r w:rsidRPr="00971920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за 2017 и 2018 г</w:t>
      </w: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>.;</w:t>
      </w:r>
    </w:p>
    <w:p w:rsidR="00971920" w:rsidRPr="00971920" w:rsidRDefault="00971920" w:rsidP="00971920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>лицата,</w:t>
      </w:r>
      <w:r w:rsidRPr="00971920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пререгистрирани </w:t>
      </w:r>
      <w:r w:rsidRPr="0097192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в периода от 1 юни 2019 г. до 31 май 2020 г.</w:t>
      </w:r>
      <w:r w:rsidRPr="00971920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,</w:t>
      </w: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публикуват в срок </w:t>
      </w:r>
      <w:r w:rsidRPr="00971920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до 30 юни на 2020 г.</w:t>
      </w: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отчетите </w:t>
      </w:r>
      <w:r w:rsidRPr="00971920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за 2017, 2018 и 2019 г</w:t>
      </w: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>.;</w:t>
      </w:r>
    </w:p>
    <w:p w:rsidR="00971920" w:rsidRPr="00971920" w:rsidRDefault="00971920" w:rsidP="00971920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>лицата,</w:t>
      </w:r>
      <w:r w:rsidRPr="00971920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пререгистрирани в периода от 1 юни 2020 г. до 31 декември 2020 г.</w:t>
      </w: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публикуват </w:t>
      </w:r>
      <w:r w:rsidRPr="00971920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в срок до 30 юни на 2021 г.</w:t>
      </w: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отчетите </w:t>
      </w:r>
      <w:r w:rsidRPr="00971920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за 2017, 2018, 2019 и 2020 г.</w:t>
      </w:r>
    </w:p>
    <w:p w:rsidR="00971920" w:rsidRPr="00971920" w:rsidRDefault="00971920" w:rsidP="009719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1920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sectPr w:rsidR="00971920" w:rsidRPr="00971920" w:rsidSect="00FC26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884D17"/>
    <w:multiLevelType w:val="multilevel"/>
    <w:tmpl w:val="47422B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6A37077"/>
    <w:multiLevelType w:val="multilevel"/>
    <w:tmpl w:val="9B602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7AF7F66"/>
    <w:multiLevelType w:val="multilevel"/>
    <w:tmpl w:val="61DEE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BC95403"/>
    <w:multiLevelType w:val="multilevel"/>
    <w:tmpl w:val="7A382A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90F0815"/>
    <w:multiLevelType w:val="multilevel"/>
    <w:tmpl w:val="8C18DE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16424FB"/>
    <w:multiLevelType w:val="multilevel"/>
    <w:tmpl w:val="F2A66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2D03E8A"/>
    <w:multiLevelType w:val="multilevel"/>
    <w:tmpl w:val="F27C4A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4614C46"/>
    <w:multiLevelType w:val="multilevel"/>
    <w:tmpl w:val="9B661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29C419A"/>
    <w:multiLevelType w:val="multilevel"/>
    <w:tmpl w:val="E5A81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42D6387"/>
    <w:multiLevelType w:val="multilevel"/>
    <w:tmpl w:val="6B5E81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F8F142E"/>
    <w:multiLevelType w:val="multilevel"/>
    <w:tmpl w:val="D7F6B7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7FA74BB"/>
    <w:multiLevelType w:val="multilevel"/>
    <w:tmpl w:val="01F8E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7FD7FFE"/>
    <w:multiLevelType w:val="multilevel"/>
    <w:tmpl w:val="F6863E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7"/>
  </w:num>
  <w:num w:numId="3">
    <w:abstractNumId w:val="5"/>
  </w:num>
  <w:num w:numId="4">
    <w:abstractNumId w:val="3"/>
  </w:num>
  <w:num w:numId="5">
    <w:abstractNumId w:val="2"/>
  </w:num>
  <w:num w:numId="6">
    <w:abstractNumId w:val="4"/>
  </w:num>
  <w:num w:numId="7">
    <w:abstractNumId w:val="8"/>
  </w:num>
  <w:num w:numId="8">
    <w:abstractNumId w:val="12"/>
  </w:num>
  <w:num w:numId="9">
    <w:abstractNumId w:val="6"/>
  </w:num>
  <w:num w:numId="10">
    <w:abstractNumId w:val="11"/>
  </w:num>
  <w:num w:numId="11">
    <w:abstractNumId w:val="1"/>
  </w:num>
  <w:num w:numId="12">
    <w:abstractNumId w:val="0"/>
  </w:num>
  <w:num w:numId="1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71920"/>
    <w:rsid w:val="00971920"/>
    <w:rsid w:val="00CB6ED9"/>
    <w:rsid w:val="00FC26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26F1"/>
  </w:style>
  <w:style w:type="paragraph" w:styleId="2">
    <w:name w:val="heading 2"/>
    <w:basedOn w:val="a"/>
    <w:link w:val="20"/>
    <w:uiPriority w:val="9"/>
    <w:qFormat/>
    <w:rsid w:val="0097192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лавие 2 Знак"/>
    <w:basedOn w:val="a0"/>
    <w:link w:val="2"/>
    <w:uiPriority w:val="9"/>
    <w:rsid w:val="00971920"/>
    <w:rPr>
      <w:rFonts w:ascii="Times New Roman" w:eastAsia="Times New Roman" w:hAnsi="Times New Roman" w:cs="Times New Roman"/>
      <w:b/>
      <w:bCs/>
      <w:sz w:val="36"/>
      <w:szCs w:val="36"/>
      <w:lang w:eastAsia="bg-BG"/>
    </w:rPr>
  </w:style>
  <w:style w:type="paragraph" w:styleId="a3">
    <w:name w:val="Normal (Web)"/>
    <w:basedOn w:val="a"/>
    <w:uiPriority w:val="99"/>
    <w:semiHidden/>
    <w:unhideWhenUsed/>
    <w:rsid w:val="009719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styleId="a4">
    <w:name w:val="Strong"/>
    <w:basedOn w:val="a0"/>
    <w:uiPriority w:val="22"/>
    <w:qFormat/>
    <w:rsid w:val="00971920"/>
    <w:rPr>
      <w:b/>
      <w:bCs/>
    </w:rPr>
  </w:style>
  <w:style w:type="character" w:styleId="a5">
    <w:name w:val="Emphasis"/>
    <w:basedOn w:val="a0"/>
    <w:uiPriority w:val="20"/>
    <w:qFormat/>
    <w:rsid w:val="00971920"/>
    <w:rPr>
      <w:i/>
      <w:iCs/>
    </w:rPr>
  </w:style>
  <w:style w:type="character" w:styleId="a6">
    <w:name w:val="Hyperlink"/>
    <w:basedOn w:val="a0"/>
    <w:uiPriority w:val="99"/>
    <w:semiHidden/>
    <w:unhideWhenUsed/>
    <w:rsid w:val="00971920"/>
    <w:rPr>
      <w:color w:val="0000FF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971920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bg-BG"/>
    </w:rPr>
  </w:style>
  <w:style w:type="character" w:customStyle="1" w:styleId="z-0">
    <w:name w:val="z-Начало формуляр Знак"/>
    <w:basedOn w:val="a0"/>
    <w:link w:val="z-"/>
    <w:uiPriority w:val="99"/>
    <w:semiHidden/>
    <w:rsid w:val="00971920"/>
    <w:rPr>
      <w:rFonts w:ascii="Arial" w:eastAsia="Times New Roman" w:hAnsi="Arial" w:cs="Arial"/>
      <w:vanish/>
      <w:sz w:val="16"/>
      <w:szCs w:val="16"/>
      <w:lang w:eastAsia="bg-BG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971920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bg-BG"/>
    </w:rPr>
  </w:style>
  <w:style w:type="character" w:customStyle="1" w:styleId="z-2">
    <w:name w:val="z-Край формуляр Знак"/>
    <w:basedOn w:val="a0"/>
    <w:link w:val="z-1"/>
    <w:uiPriority w:val="99"/>
    <w:semiHidden/>
    <w:rsid w:val="00971920"/>
    <w:rPr>
      <w:rFonts w:ascii="Arial" w:eastAsia="Times New Roman" w:hAnsi="Arial" w:cs="Arial"/>
      <w:vanish/>
      <w:sz w:val="16"/>
      <w:szCs w:val="16"/>
      <w:lang w:eastAsia="bg-BG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58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60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8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03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1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1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0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2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11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1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1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98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63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4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1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4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7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87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4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15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1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6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2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3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9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92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9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29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5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9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4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9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1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4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8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7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8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42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2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254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ita.bg/page/427" TargetMode="External"/><Relationship Id="rId13" Type="http://schemas.openxmlformats.org/officeDocument/2006/relationships/hyperlink" Target="https://www.tita.bg/page/427" TargetMode="External"/><Relationship Id="rId18" Type="http://schemas.openxmlformats.org/officeDocument/2006/relationships/hyperlink" Target="https://www.tita.bg/page/427" TargetMode="External"/><Relationship Id="rId26" Type="http://schemas.openxmlformats.org/officeDocument/2006/relationships/hyperlink" Target="https://www.tita.bg/page/427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tita.bg/page/427" TargetMode="External"/><Relationship Id="rId34" Type="http://schemas.openxmlformats.org/officeDocument/2006/relationships/theme" Target="theme/theme1.xml"/><Relationship Id="rId7" Type="http://schemas.openxmlformats.org/officeDocument/2006/relationships/hyperlink" Target="https://www.tita.bg/page/427" TargetMode="External"/><Relationship Id="rId12" Type="http://schemas.openxmlformats.org/officeDocument/2006/relationships/hyperlink" Target="https://www.tita.bg/page/427" TargetMode="External"/><Relationship Id="rId17" Type="http://schemas.openxmlformats.org/officeDocument/2006/relationships/hyperlink" Target="https://www.tita.bg/page/427" TargetMode="External"/><Relationship Id="rId25" Type="http://schemas.openxmlformats.org/officeDocument/2006/relationships/hyperlink" Target="https://www.tita.bg/page/427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tita.bg/page/427" TargetMode="External"/><Relationship Id="rId20" Type="http://schemas.openxmlformats.org/officeDocument/2006/relationships/hyperlink" Target="https://www.tita.bg/page/427" TargetMode="External"/><Relationship Id="rId29" Type="http://schemas.openxmlformats.org/officeDocument/2006/relationships/hyperlink" Target="https://www.tita.bg/page/427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tita.bg/page/427" TargetMode="External"/><Relationship Id="rId11" Type="http://schemas.openxmlformats.org/officeDocument/2006/relationships/hyperlink" Target="https://www.tita.bg/page/427" TargetMode="External"/><Relationship Id="rId24" Type="http://schemas.openxmlformats.org/officeDocument/2006/relationships/hyperlink" Target="https://www.tita.bg/page/427" TargetMode="External"/><Relationship Id="rId32" Type="http://schemas.openxmlformats.org/officeDocument/2006/relationships/hyperlink" Target="https://www.tita.bg/page/427" TargetMode="External"/><Relationship Id="rId5" Type="http://schemas.openxmlformats.org/officeDocument/2006/relationships/hyperlink" Target="http://dv.parliament.bg/DVWeb/showMaterialDV.jsp;jsessionid=95DFA899A7ACA5B6DC09D4B126DA9074?idMat=132294" TargetMode="External"/><Relationship Id="rId15" Type="http://schemas.openxmlformats.org/officeDocument/2006/relationships/hyperlink" Target="https://www.tita.bg/page/427" TargetMode="External"/><Relationship Id="rId23" Type="http://schemas.openxmlformats.org/officeDocument/2006/relationships/hyperlink" Target="https://www.tita.bg/page/427" TargetMode="External"/><Relationship Id="rId28" Type="http://schemas.openxmlformats.org/officeDocument/2006/relationships/hyperlink" Target="https://www.tita.bg/page/427" TargetMode="External"/><Relationship Id="rId10" Type="http://schemas.openxmlformats.org/officeDocument/2006/relationships/hyperlink" Target="https://www.tita.bg/page/427" TargetMode="External"/><Relationship Id="rId19" Type="http://schemas.openxmlformats.org/officeDocument/2006/relationships/hyperlink" Target="https://www.tita.bg/page/427" TargetMode="External"/><Relationship Id="rId31" Type="http://schemas.openxmlformats.org/officeDocument/2006/relationships/hyperlink" Target="https://eur-lex.europa.eu/legal-content/BG/TXT/?uri=celex%3A32013L003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ita.bg/page/427" TargetMode="External"/><Relationship Id="rId14" Type="http://schemas.openxmlformats.org/officeDocument/2006/relationships/hyperlink" Target="https://www.tita.bg/page/427" TargetMode="External"/><Relationship Id="rId22" Type="http://schemas.openxmlformats.org/officeDocument/2006/relationships/hyperlink" Target="https://www.tita.bg/page/427" TargetMode="External"/><Relationship Id="rId27" Type="http://schemas.openxmlformats.org/officeDocument/2006/relationships/hyperlink" Target="https://www.tita.bg/page/427" TargetMode="External"/><Relationship Id="rId30" Type="http://schemas.openxmlformats.org/officeDocument/2006/relationships/hyperlink" Target="https://eur-lex.europa.eu/legal-content/BG/TXT/?uri=CELEX:32016D1910" TargetMode="Externa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1537</Words>
  <Characters>8765</Characters>
  <Application>Microsoft Office Word</Application>
  <DocSecurity>0</DocSecurity>
  <Lines>73</Lines>
  <Paragraphs>20</Paragraphs>
  <ScaleCrop>false</ScaleCrop>
  <Company/>
  <LinksUpToDate>false</LinksUpToDate>
  <CharactersWithSpaces>10282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a</cp:lastModifiedBy>
  <cp:revision>1</cp:revision>
  <dcterms:created xsi:type="dcterms:W3CDTF">2019-01-05T18:56:00Z</dcterms:created>
  <dcterms:modified xsi:type="dcterms:W3CDTF">2019-01-05T18:57:00Z</dcterms:modified>
</cp:coreProperties>
</file>