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6C66" w:rsidRPr="002D6C66" w:rsidRDefault="002D6C66" w:rsidP="002D6C6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bg-BG"/>
        </w:rPr>
      </w:pPr>
      <w:r w:rsidRPr="002D6C66">
        <w:rPr>
          <w:rFonts w:ascii="Times New Roman" w:eastAsia="Times New Roman" w:hAnsi="Times New Roman" w:cs="Times New Roman"/>
          <w:b/>
          <w:bCs/>
          <w:sz w:val="36"/>
          <w:szCs w:val="36"/>
          <w:lang w:eastAsia="bg-BG"/>
        </w:rPr>
        <w:t>Промените в ЗДДС, в сила 2019 г.</w:t>
      </w:r>
    </w:p>
    <w:p w:rsidR="002D6C66" w:rsidRPr="002D6C66" w:rsidRDefault="002D6C66" w:rsidP="002D6C6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2D6C66">
        <w:rPr>
          <w:rFonts w:ascii="Times New Roman" w:eastAsia="Times New Roman" w:hAnsi="Times New Roman" w:cs="Times New Roman"/>
          <w:b/>
          <w:sz w:val="20"/>
          <w:szCs w:val="20"/>
          <w:lang w:eastAsia="bg-BG"/>
        </w:rPr>
        <w:t>28 ноември, 2018</w:t>
      </w:r>
      <w:r w:rsidRPr="002D6C66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</w:t>
      </w:r>
    </w:p>
    <w:p w:rsidR="002D6C66" w:rsidRPr="002D6C66" w:rsidRDefault="002D6C66" w:rsidP="002D6C6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D6C66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Промените в Закона за данъка върху добавената стойност, в сила от 01. 01. 2019 г.</w:t>
      </w:r>
    </w:p>
    <w:p w:rsidR="002D6C66" w:rsidRPr="002D6C66" w:rsidRDefault="002D6C66" w:rsidP="002D6C6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D6C6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bg-BG"/>
        </w:rPr>
        <w:t>(в резюме)</w:t>
      </w:r>
    </w:p>
    <w:p w:rsidR="002D6C66" w:rsidRPr="002D6C66" w:rsidRDefault="002D6C66" w:rsidP="002D6C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D6C66">
        <w:rPr>
          <w:rFonts w:ascii="Times New Roman" w:eastAsia="Times New Roman" w:hAnsi="Times New Roman" w:cs="Times New Roman"/>
          <w:sz w:val="24"/>
          <w:szCs w:val="24"/>
          <w:lang w:eastAsia="bg-BG"/>
        </w:rPr>
        <w:t> </w:t>
      </w:r>
    </w:p>
    <w:p w:rsidR="002D6C66" w:rsidRPr="002D6C66" w:rsidRDefault="002D6C66" w:rsidP="002D6C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D6C6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В ДВ, бр. 98 от 27.11.2018 г. със </w:t>
      </w:r>
      <w:hyperlink r:id="rId5" w:history="1">
        <w:r w:rsidRPr="002D6C66">
          <w:rPr>
            <w:rFonts w:ascii="Times New Roman" w:eastAsia="Times New Roman" w:hAnsi="Times New Roman" w:cs="Times New Roman"/>
            <w:b/>
            <w:bCs/>
            <w:i/>
            <w:iCs/>
            <w:color w:val="0000FF"/>
            <w:sz w:val="24"/>
            <w:szCs w:val="24"/>
            <w:u w:val="single"/>
            <w:lang w:eastAsia="bg-BG"/>
          </w:rPr>
          <w:t>Закон за изменение и допълнение на Закона за корпоративното подоходно облагане</w:t>
        </w:r>
      </w:hyperlink>
      <w:r w:rsidRPr="002D6C6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(ЗИД ЗКПО) се направиха изменения и допълнения в </w:t>
      </w:r>
      <w:r w:rsidRPr="002D6C66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Закона за данъка върху добавената стойност</w:t>
      </w:r>
      <w:r w:rsidRPr="002D6C6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(ЗДДС) - </w:t>
      </w:r>
      <w:r w:rsidRPr="002D6C66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от § 57 до § 61</w:t>
      </w:r>
      <w:r w:rsidRPr="002D6C66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</w:p>
    <w:p w:rsidR="002D6C66" w:rsidRPr="002D6C66" w:rsidRDefault="002D6C66" w:rsidP="002D6C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D6C66">
        <w:rPr>
          <w:rFonts w:ascii="Times New Roman" w:eastAsia="Times New Roman" w:hAnsi="Times New Roman" w:cs="Times New Roman"/>
          <w:sz w:val="24"/>
          <w:szCs w:val="24"/>
          <w:lang w:eastAsia="bg-BG"/>
        </w:rPr>
        <w:t> </w:t>
      </w:r>
    </w:p>
    <w:p w:rsidR="002D6C66" w:rsidRPr="002D6C66" w:rsidRDefault="002D6C66" w:rsidP="002D6C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D6C66">
        <w:rPr>
          <w:rFonts w:ascii="Times New Roman" w:eastAsia="Times New Roman" w:hAnsi="Times New Roman" w:cs="Times New Roman"/>
          <w:sz w:val="24"/>
          <w:szCs w:val="24"/>
          <w:lang w:eastAsia="bg-BG"/>
        </w:rPr>
        <w:t>Изменение е направено и с § 41, т. 4 – в Закона за изменение и допълнение на Данъчно-осигурителния процесуален кодекс (</w:t>
      </w:r>
      <w:proofErr w:type="spellStart"/>
      <w:r w:rsidRPr="002D6C66">
        <w:rPr>
          <w:rFonts w:ascii="Times New Roman" w:eastAsia="Times New Roman" w:hAnsi="Times New Roman" w:cs="Times New Roman"/>
          <w:sz w:val="24"/>
          <w:szCs w:val="24"/>
          <w:lang w:eastAsia="bg-BG"/>
        </w:rPr>
        <w:t>обн</w:t>
      </w:r>
      <w:proofErr w:type="spellEnd"/>
      <w:r w:rsidRPr="002D6C6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., ДВ, бр. 98 от 2013 г.; изм. и доп.) се </w:t>
      </w:r>
      <w:r w:rsidRPr="002D6C66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удължава срокът </w:t>
      </w:r>
      <w:r w:rsidRPr="002D6C6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bg-BG"/>
        </w:rPr>
        <w:t xml:space="preserve">за обратно начисляване </w:t>
      </w:r>
      <w:r w:rsidRPr="002D6C66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на стоките в Приложение </w:t>
      </w:r>
      <w:hyperlink r:id="rId6" w:anchor="zdds_pr_2" w:history="1">
        <w:r w:rsidRPr="002D6C66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bg-BG"/>
          </w:rPr>
          <w:t>№ 2</w:t>
        </w:r>
      </w:hyperlink>
      <w:r w:rsidRPr="002D6C66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</w:t>
      </w:r>
      <w:r w:rsidRPr="002D6C6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(зърнени и технически култури) - до </w:t>
      </w:r>
      <w:r w:rsidRPr="002D6C66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30.06.2022 г.</w:t>
      </w:r>
    </w:p>
    <w:p w:rsidR="002D6C66" w:rsidRPr="002D6C66" w:rsidRDefault="002D6C66" w:rsidP="002D6C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D6C66">
        <w:rPr>
          <w:rFonts w:ascii="Times New Roman" w:eastAsia="Times New Roman" w:hAnsi="Times New Roman" w:cs="Times New Roman"/>
          <w:sz w:val="24"/>
          <w:szCs w:val="24"/>
          <w:lang w:eastAsia="bg-BG"/>
        </w:rPr>
        <w:t> </w:t>
      </w:r>
    </w:p>
    <w:p w:rsidR="002D6C66" w:rsidRPr="002D6C66" w:rsidRDefault="002D6C66" w:rsidP="002D6C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D6C6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Всички </w:t>
      </w:r>
      <w:r w:rsidRPr="002D6C66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промени по ДДС </w:t>
      </w:r>
      <w:r w:rsidRPr="002D6C6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са направени </w:t>
      </w:r>
      <w:r w:rsidRPr="002D6C66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във връзка с</w:t>
      </w:r>
      <w:r w:rsidRPr="002D6C66">
        <w:rPr>
          <w:rFonts w:ascii="Times New Roman" w:eastAsia="Times New Roman" w:hAnsi="Times New Roman" w:cs="Times New Roman"/>
          <w:sz w:val="24"/>
          <w:szCs w:val="24"/>
          <w:lang w:eastAsia="bg-BG"/>
        </w:rPr>
        <w:t>:</w:t>
      </w:r>
    </w:p>
    <w:p w:rsidR="002D6C66" w:rsidRPr="002D6C66" w:rsidRDefault="002D6C66" w:rsidP="002D6C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D6C6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 хармонизиране на българското законодателство с </w:t>
      </w:r>
      <w:r w:rsidRPr="002D6C6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bg-BG"/>
        </w:rPr>
        <w:t>изискванията на европейските директиви</w:t>
      </w:r>
      <w:r w:rsidRPr="002D6C66">
        <w:rPr>
          <w:rFonts w:ascii="Times New Roman" w:eastAsia="Times New Roman" w:hAnsi="Times New Roman" w:cs="Times New Roman"/>
          <w:sz w:val="24"/>
          <w:szCs w:val="24"/>
          <w:lang w:eastAsia="bg-BG"/>
        </w:rPr>
        <w:t>,</w:t>
      </w:r>
    </w:p>
    <w:p w:rsidR="002D6C66" w:rsidRPr="002D6C66" w:rsidRDefault="002D6C66" w:rsidP="002D6C6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D6C6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bg-BG"/>
        </w:rPr>
        <w:t>отстраняване на несъответствия с Директива 2006/112/ЕО</w:t>
      </w:r>
      <w:r w:rsidRPr="002D6C66">
        <w:rPr>
          <w:rFonts w:ascii="Times New Roman" w:eastAsia="Times New Roman" w:hAnsi="Times New Roman" w:cs="Times New Roman"/>
          <w:sz w:val="24"/>
          <w:szCs w:val="24"/>
          <w:lang w:eastAsia="bg-BG"/>
        </w:rPr>
        <w:t>,</w:t>
      </w:r>
    </w:p>
    <w:p w:rsidR="002D6C66" w:rsidRPr="002D6C66" w:rsidRDefault="002D6C66" w:rsidP="002D6C6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D6C6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съобразяване с </w:t>
      </w:r>
      <w:r w:rsidRPr="002D6C6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bg-BG"/>
        </w:rPr>
        <w:t xml:space="preserve">решенията на Съда на Европейския съюз </w:t>
      </w:r>
      <w:r w:rsidRPr="002D6C66">
        <w:rPr>
          <w:rFonts w:ascii="Times New Roman" w:eastAsia="Times New Roman" w:hAnsi="Times New Roman" w:cs="Times New Roman"/>
          <w:sz w:val="24"/>
          <w:szCs w:val="24"/>
          <w:lang w:eastAsia="bg-BG"/>
        </w:rPr>
        <w:t>в областта на косвеното облагане,</w:t>
      </w:r>
    </w:p>
    <w:p w:rsidR="002D6C66" w:rsidRPr="002D6C66" w:rsidRDefault="002D6C66" w:rsidP="002D6C66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D6C6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bg-BG"/>
        </w:rPr>
        <w:t>открити процедури за несъответствия от Европейската комисия</w:t>
      </w:r>
      <w:r w:rsidRPr="002D6C66">
        <w:rPr>
          <w:rFonts w:ascii="Times New Roman" w:eastAsia="Times New Roman" w:hAnsi="Times New Roman" w:cs="Times New Roman"/>
          <w:sz w:val="24"/>
          <w:szCs w:val="24"/>
          <w:lang w:eastAsia="bg-BG"/>
        </w:rPr>
        <w:t>, както и</w:t>
      </w:r>
    </w:p>
    <w:p w:rsidR="002D6C66" w:rsidRPr="002D6C66" w:rsidRDefault="002D6C66" w:rsidP="002D6C66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D6C6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необходимост от </w:t>
      </w:r>
      <w:r w:rsidRPr="002D6C6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bg-BG"/>
        </w:rPr>
        <w:t>прецизиране на разпоредби, които създават затрудне</w:t>
      </w: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bg-BG"/>
        </w:rPr>
        <w:t xml:space="preserve">ния </w:t>
      </w:r>
      <w:r w:rsidRPr="002D6C66">
        <w:rPr>
          <w:rFonts w:ascii="Times New Roman" w:eastAsia="Times New Roman" w:hAnsi="Times New Roman" w:cs="Times New Roman"/>
          <w:sz w:val="24"/>
          <w:szCs w:val="24"/>
          <w:lang w:eastAsia="bg-BG"/>
        </w:rPr>
        <w:t>при практическото прилагане на закона.</w:t>
      </w:r>
    </w:p>
    <w:p w:rsidR="002D6C66" w:rsidRPr="002D6C66" w:rsidRDefault="002D6C66" w:rsidP="002D6C6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D6C66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Промени, свързани с</w:t>
      </w:r>
      <w:r w:rsidRPr="002D6C6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Pr="002D6C66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Европейските директиви:</w:t>
      </w:r>
    </w:p>
    <w:p w:rsidR="002D6C66" w:rsidRPr="002D6C66" w:rsidRDefault="002D6C66" w:rsidP="002D6C66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hyperlink r:id="rId7" w:history="1">
        <w:r w:rsidRPr="002D6C66">
          <w:rPr>
            <w:rFonts w:ascii="Times New Roman" w:eastAsia="Times New Roman" w:hAnsi="Times New Roman" w:cs="Times New Roman"/>
            <w:b/>
            <w:bCs/>
            <w:i/>
            <w:iCs/>
            <w:color w:val="0000FF"/>
            <w:sz w:val="24"/>
            <w:szCs w:val="24"/>
            <w:u w:val="single"/>
            <w:lang w:eastAsia="bg-BG"/>
          </w:rPr>
          <w:t>Директива (ЕС) 2016/1065 на Съвета от 27 юни 2016 г.</w:t>
        </w:r>
        <w:r w:rsidRPr="002D6C66">
          <w:rPr>
            <w:rFonts w:ascii="Times New Roman" w:eastAsia="Times New Roman" w:hAnsi="Times New Roman" w:cs="Times New Roman"/>
            <w:i/>
            <w:iCs/>
            <w:color w:val="0000FF"/>
            <w:sz w:val="24"/>
            <w:szCs w:val="24"/>
            <w:u w:val="single"/>
            <w:lang w:eastAsia="bg-BG"/>
          </w:rPr>
          <w:t xml:space="preserve"> </w:t>
        </w:r>
        <w:r w:rsidRPr="002D6C66">
          <w:rPr>
            <w:rFonts w:ascii="Times New Roman" w:eastAsia="Times New Roman" w:hAnsi="Times New Roman" w:cs="Times New Roman"/>
            <w:b/>
            <w:bCs/>
            <w:i/>
            <w:iCs/>
            <w:color w:val="0000FF"/>
            <w:sz w:val="24"/>
            <w:szCs w:val="24"/>
            <w:u w:val="single"/>
            <w:lang w:eastAsia="bg-BG"/>
          </w:rPr>
          <w:t>за изменение на Директива 2006/112/ЕО по отношение на данъчното третиране на ваучери</w:t>
        </w:r>
      </w:hyperlink>
      <w:r w:rsidRPr="002D6C66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</w:p>
    <w:p w:rsidR="002D6C66" w:rsidRPr="002D6C66" w:rsidRDefault="002D6C66" w:rsidP="002D6C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D6C6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Държавите членки следва да се съобразят с тази директива </w:t>
      </w:r>
      <w:r w:rsidRPr="002D6C66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най-късно до 31 декември 2018 г</w:t>
      </w:r>
      <w:r w:rsidRPr="002D6C66">
        <w:rPr>
          <w:rFonts w:ascii="Times New Roman" w:eastAsia="Times New Roman" w:hAnsi="Times New Roman" w:cs="Times New Roman"/>
          <w:sz w:val="24"/>
          <w:szCs w:val="24"/>
          <w:lang w:eastAsia="bg-BG"/>
        </w:rPr>
        <w:t>. с цел гарантиране на сигурно и еднакво третиране.</w:t>
      </w:r>
    </w:p>
    <w:p w:rsidR="002D6C66" w:rsidRPr="002D6C66" w:rsidRDefault="002D6C66" w:rsidP="002D6C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D6C66">
        <w:rPr>
          <w:rFonts w:ascii="Times New Roman" w:eastAsia="Times New Roman" w:hAnsi="Times New Roman" w:cs="Times New Roman"/>
          <w:sz w:val="24"/>
          <w:szCs w:val="24"/>
          <w:lang w:eastAsia="bg-BG"/>
        </w:rPr>
        <w:t> </w:t>
      </w:r>
    </w:p>
    <w:p w:rsidR="002D6C66" w:rsidRPr="002D6C66" w:rsidRDefault="002D6C66" w:rsidP="002D6C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D6C6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В разпоредбите на ЗДДС се въвеждат </w:t>
      </w:r>
      <w:r w:rsidRPr="002D6C66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разпоредби относно третирането на ваучери</w:t>
      </w:r>
      <w:r w:rsidRPr="002D6C6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по ЗДДС – </w:t>
      </w:r>
      <w:hyperlink r:id="rId8" w:anchor="zdds_chl_26" w:history="1">
        <w:r w:rsidRPr="002D6C66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bg-BG"/>
          </w:rPr>
          <w:t>чл. 26, ал. 10</w:t>
        </w:r>
      </w:hyperlink>
      <w:r w:rsidRPr="002D6C66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, </w:t>
      </w:r>
      <w:hyperlink r:id="rId9" w:anchor="zdds_chl_131a" w:history="1">
        <w:r w:rsidRPr="002D6C66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bg-BG"/>
          </w:rPr>
          <w:t>чл. 131а</w:t>
        </w:r>
      </w:hyperlink>
      <w:r w:rsidRPr="002D6C66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, </w:t>
      </w:r>
      <w:hyperlink r:id="rId10" w:anchor="zdds_chl_131b" w:history="1">
        <w:r w:rsidRPr="002D6C66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bg-BG"/>
          </w:rPr>
          <w:t>чл. 131б</w:t>
        </w:r>
      </w:hyperlink>
      <w:r w:rsidRPr="002D6C66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и </w:t>
      </w:r>
      <w:hyperlink r:id="rId11" w:anchor="zdds_chl_131v" w:history="1">
        <w:r w:rsidRPr="002D6C66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bg-BG"/>
          </w:rPr>
          <w:t>чл. 131в</w:t>
        </w:r>
      </w:hyperlink>
      <w:r w:rsidRPr="002D6C6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като се пояснява </w:t>
      </w:r>
      <w:r w:rsidRPr="002D6C6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bg-BG"/>
        </w:rPr>
        <w:t xml:space="preserve">кога е налице доставка на стока или услуга. </w:t>
      </w:r>
    </w:p>
    <w:p w:rsidR="002D6C66" w:rsidRPr="002D6C66" w:rsidRDefault="002D6C66" w:rsidP="002D6C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D6C6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bg-BG"/>
        </w:rPr>
        <w:t> </w:t>
      </w:r>
    </w:p>
    <w:p w:rsidR="002D6C66" w:rsidRPr="002D6C66" w:rsidRDefault="002D6C66" w:rsidP="002D6C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D6C6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Следва да се има предвид, че </w:t>
      </w:r>
      <w:r w:rsidRPr="002D6C66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правилата за ваучерите</w:t>
      </w:r>
      <w:r w:rsidRPr="002D6C6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Pr="002D6C6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bg-BG"/>
        </w:rPr>
        <w:t>не се отнасят за</w:t>
      </w:r>
      <w:r w:rsidRPr="002D6C66">
        <w:rPr>
          <w:rFonts w:ascii="Times New Roman" w:eastAsia="Times New Roman" w:hAnsi="Times New Roman" w:cs="Times New Roman"/>
          <w:sz w:val="24"/>
          <w:szCs w:val="24"/>
          <w:lang w:eastAsia="bg-BG"/>
        </w:rPr>
        <w:t>:</w:t>
      </w:r>
    </w:p>
    <w:p w:rsidR="002D6C66" w:rsidRPr="002D6C66" w:rsidRDefault="002D6C66" w:rsidP="002D6C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D6C66">
        <w:rPr>
          <w:rFonts w:ascii="Times New Roman" w:eastAsia="Times New Roman" w:hAnsi="Times New Roman" w:cs="Times New Roman"/>
          <w:sz w:val="24"/>
          <w:szCs w:val="24"/>
          <w:lang w:eastAsia="bg-BG"/>
        </w:rPr>
        <w:t> </w:t>
      </w:r>
    </w:p>
    <w:p w:rsidR="002D6C66" w:rsidRPr="002D6C66" w:rsidRDefault="002D6C66" w:rsidP="002D6C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D6C6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-   инструментите, които дават </w:t>
      </w:r>
      <w:r w:rsidRPr="002D6C6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bg-BG"/>
        </w:rPr>
        <w:t>право на притежателя да получи отстъпка при получаване на стоките или услугите</w:t>
      </w:r>
      <w:r w:rsidRPr="002D6C66">
        <w:rPr>
          <w:rFonts w:ascii="Times New Roman" w:eastAsia="Times New Roman" w:hAnsi="Times New Roman" w:cs="Times New Roman"/>
          <w:sz w:val="24"/>
          <w:szCs w:val="24"/>
          <w:lang w:eastAsia="bg-BG"/>
        </w:rPr>
        <w:t>, но не дават правото на получаване на самите стоки и услуги;</w:t>
      </w:r>
    </w:p>
    <w:p w:rsidR="002D6C66" w:rsidRPr="002D6C66" w:rsidRDefault="002D6C66" w:rsidP="002D6C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D6C66">
        <w:rPr>
          <w:rFonts w:ascii="Times New Roman" w:eastAsia="Times New Roman" w:hAnsi="Times New Roman" w:cs="Times New Roman"/>
          <w:sz w:val="24"/>
          <w:szCs w:val="24"/>
          <w:lang w:eastAsia="bg-BG"/>
        </w:rPr>
        <w:t>-    </w:t>
      </w:r>
      <w:r w:rsidRPr="002D6C6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bg-BG"/>
        </w:rPr>
        <w:t>билетите за пътуване, кино, музей и други</w:t>
      </w:r>
      <w:r w:rsidRPr="002D6C66">
        <w:rPr>
          <w:rFonts w:ascii="Times New Roman" w:eastAsia="Times New Roman" w:hAnsi="Times New Roman" w:cs="Times New Roman"/>
          <w:sz w:val="24"/>
          <w:szCs w:val="24"/>
          <w:lang w:eastAsia="bg-BG"/>
        </w:rPr>
        <w:t>, пощенските марки и други подобни;</w:t>
      </w:r>
    </w:p>
    <w:p w:rsidR="002D6C66" w:rsidRPr="002D6C66" w:rsidRDefault="002D6C66" w:rsidP="002D6C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D6C66">
        <w:rPr>
          <w:rFonts w:ascii="Times New Roman" w:eastAsia="Times New Roman" w:hAnsi="Times New Roman" w:cs="Times New Roman"/>
          <w:sz w:val="24"/>
          <w:szCs w:val="24"/>
          <w:lang w:eastAsia="bg-BG"/>
        </w:rPr>
        <w:t>-    </w:t>
      </w:r>
      <w:r w:rsidRPr="002D6C6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bg-BG"/>
        </w:rPr>
        <w:t>ваучерите за храна</w:t>
      </w:r>
      <w:r w:rsidRPr="002D6C6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издадени от лице, получило разрешение от министъра на финансите по реда на </w:t>
      </w:r>
      <w:hyperlink r:id="rId12" w:anchor="zkpo_chl_209" w:history="1">
        <w:r w:rsidRPr="002D6C6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bg-BG"/>
          </w:rPr>
          <w:t>чл. 209</w:t>
        </w:r>
      </w:hyperlink>
      <w:r w:rsidRPr="002D6C6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от Закона за корпоративното подоходно облагане.</w:t>
      </w:r>
    </w:p>
    <w:p w:rsidR="002D6C66" w:rsidRPr="002D6C66" w:rsidRDefault="002D6C66" w:rsidP="002D6C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D6C66">
        <w:rPr>
          <w:rFonts w:ascii="Times New Roman" w:eastAsia="Times New Roman" w:hAnsi="Times New Roman" w:cs="Times New Roman"/>
          <w:sz w:val="24"/>
          <w:szCs w:val="24"/>
          <w:lang w:eastAsia="bg-BG"/>
        </w:rPr>
        <w:t> </w:t>
      </w:r>
    </w:p>
    <w:p w:rsidR="002D6C66" w:rsidRPr="002D6C66" w:rsidRDefault="002D6C66" w:rsidP="002D6C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D6C66">
        <w:rPr>
          <w:rFonts w:ascii="Times New Roman" w:eastAsia="Times New Roman" w:hAnsi="Times New Roman" w:cs="Times New Roman"/>
          <w:sz w:val="24"/>
          <w:szCs w:val="24"/>
          <w:lang w:eastAsia="bg-BG"/>
        </w:rPr>
        <w:lastRenderedPageBreak/>
        <w:t xml:space="preserve">Въведени са определения за ваучери в </w:t>
      </w:r>
      <w:hyperlink r:id="rId13" w:anchor="zdds_dr_1_t_88" w:history="1">
        <w:r w:rsidRPr="002D6C66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bg-BG"/>
          </w:rPr>
          <w:t>§ 1 т. 88</w:t>
        </w:r>
      </w:hyperlink>
      <w:r w:rsidRPr="002D6C66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, </w:t>
      </w:r>
      <w:hyperlink r:id="rId14" w:anchor="zdds_dr_1_t_89" w:history="1">
        <w:r w:rsidRPr="002D6C66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bg-BG"/>
          </w:rPr>
          <w:t>т. 89</w:t>
        </w:r>
      </w:hyperlink>
      <w:r w:rsidRPr="002D6C66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и </w:t>
      </w:r>
      <w:hyperlink r:id="rId15" w:anchor="zdds_dr_1_t_90" w:history="1">
        <w:r w:rsidRPr="002D6C66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bg-BG"/>
          </w:rPr>
          <w:t>т. 90</w:t>
        </w:r>
      </w:hyperlink>
      <w:r w:rsidRPr="002D6C6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като се пояснява, че </w:t>
      </w:r>
      <w:r w:rsidRPr="002D6C66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новите разпоредбите</w:t>
      </w:r>
      <w:r w:rsidRPr="002D6C6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ще се прилагат за </w:t>
      </w:r>
      <w:r w:rsidRPr="002D6C66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ваучери, </w:t>
      </w:r>
      <w:r w:rsidRPr="002D6C6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bg-BG"/>
        </w:rPr>
        <w:t>издадени след 31.12.2018 г.</w:t>
      </w:r>
    </w:p>
    <w:p w:rsidR="002D6C66" w:rsidRPr="002D6C66" w:rsidRDefault="002D6C66" w:rsidP="002D6C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D6C66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 </w:t>
      </w:r>
    </w:p>
    <w:p w:rsidR="002D6C66" w:rsidRPr="002D6C66" w:rsidRDefault="002D6C66" w:rsidP="002D6C66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hyperlink r:id="rId16" w:history="1">
        <w:r w:rsidRPr="002D6C66">
          <w:rPr>
            <w:rFonts w:ascii="Times New Roman" w:eastAsia="Times New Roman" w:hAnsi="Times New Roman" w:cs="Times New Roman"/>
            <w:b/>
            <w:bCs/>
            <w:i/>
            <w:iCs/>
            <w:color w:val="0000FF"/>
            <w:sz w:val="24"/>
            <w:szCs w:val="24"/>
            <w:u w:val="single"/>
            <w:lang w:eastAsia="bg-BG"/>
          </w:rPr>
          <w:t>Директива (EС) 2018/912 на Съвета от 22 юни 2018 г. за изменение на Директива 2006/112/ЕО относно общата система на данъка върху добавената стойност по отношение на задължението за спазване на минимален размер на стандартната данъчна ставка</w:t>
        </w:r>
      </w:hyperlink>
      <w:r w:rsidRPr="002D6C66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  <w:r w:rsidRPr="002D6C66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</w:t>
      </w:r>
    </w:p>
    <w:p w:rsidR="002D6C66" w:rsidRPr="002D6C66" w:rsidRDefault="002D6C66" w:rsidP="002D6C66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hyperlink r:id="rId17" w:history="1">
        <w:r w:rsidRPr="002D6C66">
          <w:rPr>
            <w:rFonts w:ascii="Times New Roman" w:eastAsia="Times New Roman" w:hAnsi="Times New Roman" w:cs="Times New Roman"/>
            <w:b/>
            <w:bCs/>
            <w:i/>
            <w:iCs/>
            <w:color w:val="0000FF"/>
            <w:sz w:val="24"/>
            <w:szCs w:val="24"/>
            <w:u w:val="single"/>
            <w:lang w:eastAsia="bg-BG"/>
          </w:rPr>
          <w:t>Директивата (ЕС) 2017/2455 на Съвета от 5 декември 2017 г. за изменение на Директива 2006/112/ЕО и Директива 2009/132/ЕО по отношение на някои задължения, свързани с данъка върху добавената стойност, приложими при доставките на услуги и дистанционните продажби на стоки</w:t>
        </w:r>
      </w:hyperlink>
      <w:r w:rsidRPr="002D6C66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</w:p>
    <w:p w:rsidR="002D6C66" w:rsidRPr="002D6C66" w:rsidRDefault="002D6C66" w:rsidP="002D6C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D6C6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Държавите членки следва да се съобразят с </w:t>
      </w:r>
      <w:r w:rsidRPr="002D6C66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член 1</w:t>
      </w:r>
      <w:r w:rsidRPr="002D6C6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от тази директива </w:t>
      </w:r>
      <w:r w:rsidRPr="002D6C66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най-късно до 31 декември 2018 г.</w:t>
      </w:r>
    </w:p>
    <w:p w:rsidR="002D6C66" w:rsidRPr="002D6C66" w:rsidRDefault="002D6C66" w:rsidP="002D6C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D6C66">
        <w:rPr>
          <w:rFonts w:ascii="Times New Roman" w:eastAsia="Times New Roman" w:hAnsi="Times New Roman" w:cs="Times New Roman"/>
          <w:sz w:val="24"/>
          <w:szCs w:val="24"/>
          <w:lang w:eastAsia="bg-BG"/>
        </w:rPr>
        <w:t> </w:t>
      </w:r>
    </w:p>
    <w:p w:rsidR="002D6C66" w:rsidRPr="002D6C66" w:rsidRDefault="002D6C66" w:rsidP="002D6C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D6C6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Въвежда се </w:t>
      </w:r>
      <w:r w:rsidRPr="002D6C66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праг от 10 000 евро</w:t>
      </w:r>
      <w:r w:rsidRPr="002D6C6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при осъществяване на доставки:</w:t>
      </w:r>
    </w:p>
    <w:p w:rsidR="002D6C66" w:rsidRPr="002D6C66" w:rsidRDefault="002D6C66" w:rsidP="002D6C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D6C66">
        <w:rPr>
          <w:rFonts w:ascii="Times New Roman" w:eastAsia="Times New Roman" w:hAnsi="Times New Roman" w:cs="Times New Roman"/>
          <w:sz w:val="24"/>
          <w:szCs w:val="24"/>
          <w:lang w:eastAsia="bg-BG"/>
        </w:rPr>
        <w:t> </w:t>
      </w:r>
    </w:p>
    <w:p w:rsidR="002D6C66" w:rsidRPr="002D6C66" w:rsidRDefault="002D6C66" w:rsidP="002D6C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D6C6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-   на </w:t>
      </w:r>
      <w:r w:rsidRPr="002D6C6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bg-BG"/>
        </w:rPr>
        <w:t>далекосъобщителни услуги</w:t>
      </w:r>
      <w:r w:rsidRPr="002D6C66">
        <w:rPr>
          <w:rFonts w:ascii="Times New Roman" w:eastAsia="Times New Roman" w:hAnsi="Times New Roman" w:cs="Times New Roman"/>
          <w:sz w:val="24"/>
          <w:szCs w:val="24"/>
          <w:lang w:eastAsia="bg-BG"/>
        </w:rPr>
        <w:t>,</w:t>
      </w:r>
    </w:p>
    <w:p w:rsidR="002D6C66" w:rsidRPr="002D6C66" w:rsidRDefault="002D6C66" w:rsidP="002D6C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D6C6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-   на услуги за </w:t>
      </w:r>
      <w:r w:rsidRPr="002D6C6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bg-BG"/>
        </w:rPr>
        <w:t>радио- и телевизионно излъчване</w:t>
      </w:r>
      <w:r w:rsidRPr="002D6C6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и</w:t>
      </w:r>
    </w:p>
    <w:p w:rsidR="002D6C66" w:rsidRPr="002D6C66" w:rsidRDefault="002D6C66" w:rsidP="002D6C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D6C6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-   на </w:t>
      </w:r>
      <w:r w:rsidRPr="002D6C6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bg-BG"/>
        </w:rPr>
        <w:t>услуги, извършвани по електронен път,</w:t>
      </w:r>
    </w:p>
    <w:p w:rsidR="002D6C66" w:rsidRPr="002D6C66" w:rsidRDefault="002D6C66" w:rsidP="002D6C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D6C66">
        <w:rPr>
          <w:rFonts w:ascii="Times New Roman" w:eastAsia="Times New Roman" w:hAnsi="Times New Roman" w:cs="Times New Roman"/>
          <w:sz w:val="24"/>
          <w:szCs w:val="24"/>
          <w:lang w:eastAsia="bg-BG"/>
        </w:rPr>
        <w:t> </w:t>
      </w:r>
    </w:p>
    <w:p w:rsidR="002D6C66" w:rsidRPr="002D6C66" w:rsidRDefault="002D6C66" w:rsidP="002D6C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D6C6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по които </w:t>
      </w:r>
      <w:r w:rsidRPr="002D6C66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получатели са данъчно незадължени лица</w:t>
      </w:r>
      <w:r w:rsidRPr="002D6C6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(</w:t>
      </w:r>
      <w:hyperlink r:id="rId18" w:anchor="zdds_chl_21" w:history="1">
        <w:r w:rsidRPr="002D6C66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bg-BG"/>
          </w:rPr>
          <w:t>чл. 21, ал. 8</w:t>
        </w:r>
      </w:hyperlink>
      <w:r w:rsidRPr="002D6C6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от ЗДДС).</w:t>
      </w:r>
    </w:p>
    <w:p w:rsidR="002D6C66" w:rsidRPr="002D6C66" w:rsidRDefault="002D6C66" w:rsidP="002D6C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D6C66">
        <w:rPr>
          <w:rFonts w:ascii="Times New Roman" w:eastAsia="Times New Roman" w:hAnsi="Times New Roman" w:cs="Times New Roman"/>
          <w:sz w:val="24"/>
          <w:szCs w:val="24"/>
          <w:lang w:eastAsia="bg-BG"/>
        </w:rPr>
        <w:t> </w:t>
      </w:r>
    </w:p>
    <w:p w:rsidR="002D6C66" w:rsidRPr="002D6C66" w:rsidRDefault="002D6C66" w:rsidP="002D6C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D6C6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Когато </w:t>
      </w:r>
      <w:r w:rsidRPr="002D6C66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общата стойност без ДД</w:t>
      </w:r>
      <w:r w:rsidRPr="002D6C6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С на тези доставки </w:t>
      </w:r>
      <w:r w:rsidRPr="002D6C66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е</w:t>
      </w:r>
      <w:r w:rsidRPr="002D6C66">
        <w:rPr>
          <w:rFonts w:ascii="Times New Roman" w:eastAsia="Times New Roman" w:hAnsi="Times New Roman" w:cs="Times New Roman"/>
          <w:sz w:val="24"/>
          <w:szCs w:val="24"/>
          <w:lang w:eastAsia="bg-BG"/>
        </w:rPr>
        <w:t>:</w:t>
      </w:r>
    </w:p>
    <w:p w:rsidR="002D6C66" w:rsidRPr="002D6C66" w:rsidRDefault="002D6C66" w:rsidP="002D6C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D6C66">
        <w:rPr>
          <w:rFonts w:ascii="Times New Roman" w:eastAsia="Times New Roman" w:hAnsi="Times New Roman" w:cs="Times New Roman"/>
          <w:sz w:val="24"/>
          <w:szCs w:val="24"/>
          <w:lang w:eastAsia="bg-BG"/>
        </w:rPr>
        <w:t> </w:t>
      </w:r>
    </w:p>
    <w:p w:rsidR="002D6C66" w:rsidRPr="002D6C66" w:rsidRDefault="002D6C66" w:rsidP="002D6C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D6C6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-   </w:t>
      </w:r>
      <w:r w:rsidRPr="002D6C6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bg-BG"/>
        </w:rPr>
        <w:t>под прага</w:t>
      </w:r>
      <w:r w:rsidRPr="002D6C66">
        <w:rPr>
          <w:rFonts w:ascii="Times New Roman" w:eastAsia="Times New Roman" w:hAnsi="Times New Roman" w:cs="Times New Roman"/>
          <w:sz w:val="24"/>
          <w:szCs w:val="24"/>
          <w:lang w:eastAsia="bg-BG"/>
        </w:rPr>
        <w:t>, т.е. под 10 000 евро, и</w:t>
      </w:r>
    </w:p>
    <w:p w:rsidR="002D6C66" w:rsidRPr="002D6C66" w:rsidRDefault="002D6C66" w:rsidP="002D6C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D6C6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-   при условие, че </w:t>
      </w:r>
      <w:r w:rsidRPr="002D6C66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доставчикът е установен</w:t>
      </w:r>
      <w:r w:rsidRPr="002D6C6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има постоянен адрес или обичайно пребиваване </w:t>
      </w:r>
      <w:r w:rsidRPr="002D6C6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bg-BG"/>
        </w:rPr>
        <w:t>само на територията на една държава членка</w:t>
      </w:r>
      <w:r w:rsidRPr="002D6C66">
        <w:rPr>
          <w:rFonts w:ascii="Times New Roman" w:eastAsia="Times New Roman" w:hAnsi="Times New Roman" w:cs="Times New Roman"/>
          <w:sz w:val="24"/>
          <w:szCs w:val="24"/>
          <w:lang w:eastAsia="bg-BG"/>
        </w:rPr>
        <w:t>,</w:t>
      </w:r>
    </w:p>
    <w:p w:rsidR="002D6C66" w:rsidRPr="002D6C66" w:rsidRDefault="002D6C66" w:rsidP="002D6C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D6C66">
        <w:rPr>
          <w:rFonts w:ascii="Times New Roman" w:eastAsia="Times New Roman" w:hAnsi="Times New Roman" w:cs="Times New Roman"/>
          <w:sz w:val="24"/>
          <w:szCs w:val="24"/>
          <w:lang w:eastAsia="bg-BG"/>
        </w:rPr>
        <w:t> </w:t>
      </w:r>
    </w:p>
    <w:p w:rsidR="002D6C66" w:rsidRPr="002D6C66" w:rsidRDefault="002D6C66" w:rsidP="002D6C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D6C66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мястото на изпълнение</w:t>
      </w:r>
      <w:r w:rsidRPr="002D6C6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на доставките ще е там, където </w:t>
      </w:r>
      <w:r w:rsidRPr="002D6C6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bg-BG"/>
        </w:rPr>
        <w:t>доставчикът е установен, има постоянен адрес или обичайно пребиваване</w:t>
      </w:r>
      <w:r w:rsidRPr="002D6C6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– </w:t>
      </w:r>
      <w:hyperlink r:id="rId19" w:anchor="zdds_chl_21" w:history="1">
        <w:r w:rsidRPr="002D6C66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bg-BG"/>
          </w:rPr>
          <w:t>чл. 21, ал. 8</w:t>
        </w:r>
      </w:hyperlink>
      <w:r w:rsidRPr="002D6C6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от ЗДДС.</w:t>
      </w:r>
    </w:p>
    <w:p w:rsidR="002D6C66" w:rsidRPr="002D6C66" w:rsidRDefault="002D6C66" w:rsidP="002D6C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D6C66">
        <w:rPr>
          <w:rFonts w:ascii="Times New Roman" w:eastAsia="Times New Roman" w:hAnsi="Times New Roman" w:cs="Times New Roman"/>
          <w:sz w:val="24"/>
          <w:szCs w:val="24"/>
          <w:lang w:eastAsia="bg-BG"/>
        </w:rPr>
        <w:t> </w:t>
      </w:r>
    </w:p>
    <w:p w:rsidR="002D6C66" w:rsidRPr="002D6C66" w:rsidRDefault="002D6C66" w:rsidP="002D6C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D6C66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Доставката, с която се надхвърля прага</w:t>
      </w:r>
      <w:r w:rsidRPr="002D6C6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ще е с </w:t>
      </w:r>
      <w:r w:rsidRPr="002D6C6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bg-BG"/>
        </w:rPr>
        <w:t xml:space="preserve">място на изпълнение по сега действащия ред </w:t>
      </w:r>
      <w:r w:rsidRPr="002D6C6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– </w:t>
      </w:r>
      <w:hyperlink r:id="rId20" w:anchor="zdds_chl_21" w:history="1">
        <w:r w:rsidRPr="002D6C6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bg-BG"/>
          </w:rPr>
          <w:t>чл. 21, ал. 6</w:t>
        </w:r>
      </w:hyperlink>
      <w:r w:rsidRPr="002D6C6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от ЗДДС, т.е. там, където е установено данъчно незадълженото лице - получател.</w:t>
      </w:r>
    </w:p>
    <w:p w:rsidR="002D6C66" w:rsidRPr="002D6C66" w:rsidRDefault="002D6C66" w:rsidP="002D6C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D6C66">
        <w:rPr>
          <w:rFonts w:ascii="Times New Roman" w:eastAsia="Times New Roman" w:hAnsi="Times New Roman" w:cs="Times New Roman"/>
          <w:sz w:val="24"/>
          <w:szCs w:val="24"/>
          <w:lang w:eastAsia="bg-BG"/>
        </w:rPr>
        <w:t> </w:t>
      </w:r>
    </w:p>
    <w:p w:rsidR="002D6C66" w:rsidRPr="002D6C66" w:rsidRDefault="002D6C66" w:rsidP="002D6C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D6C6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Дадена е възможност, </w:t>
      </w:r>
      <w:r w:rsidRPr="002D6C66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дори прагът да не е надхвърлен</w:t>
      </w:r>
      <w:r w:rsidRPr="002D6C6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доставчикът да </w:t>
      </w:r>
      <w:r w:rsidRPr="002D6C6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bg-BG"/>
        </w:rPr>
        <w:t>може да избере да определя мястото на доставка там</w:t>
      </w:r>
      <w:r w:rsidRPr="002D6C6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където е установено данъчно незадълженото лице - получател по услугата – </w:t>
      </w:r>
      <w:hyperlink r:id="rId21" w:anchor="zdds_chl_21" w:history="1">
        <w:r w:rsidRPr="002D6C66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bg-BG"/>
          </w:rPr>
          <w:t>чл. 21, ал. 10</w:t>
        </w:r>
      </w:hyperlink>
      <w:r w:rsidRPr="002D6C6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от ЗДДС.</w:t>
      </w:r>
    </w:p>
    <w:p w:rsidR="002D6C66" w:rsidRPr="002D6C66" w:rsidRDefault="002D6C66" w:rsidP="002D6C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D6C66">
        <w:rPr>
          <w:rFonts w:ascii="Times New Roman" w:eastAsia="Times New Roman" w:hAnsi="Times New Roman" w:cs="Times New Roman"/>
          <w:sz w:val="24"/>
          <w:szCs w:val="24"/>
          <w:lang w:eastAsia="bg-BG"/>
        </w:rPr>
        <w:t> </w:t>
      </w:r>
    </w:p>
    <w:p w:rsidR="002D6C66" w:rsidRPr="002D6C66" w:rsidRDefault="002D6C66" w:rsidP="002D6C6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D6C66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Промени, свързани с отстраняване на</w:t>
      </w:r>
      <w:r w:rsidRPr="002D6C6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Pr="002D6C66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несъответствия в ЗДДС с правилата на Директива 2006/112/ЕО относно общата система на данък върху добавената стойност:</w:t>
      </w:r>
    </w:p>
    <w:p w:rsidR="002D6C66" w:rsidRPr="002D6C66" w:rsidRDefault="002D6C66" w:rsidP="002D6C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D6C66">
        <w:rPr>
          <w:rFonts w:ascii="Times New Roman" w:eastAsia="Times New Roman" w:hAnsi="Times New Roman" w:cs="Times New Roman"/>
          <w:sz w:val="24"/>
          <w:szCs w:val="24"/>
          <w:lang w:eastAsia="bg-BG"/>
        </w:rPr>
        <w:t> </w:t>
      </w:r>
    </w:p>
    <w:p w:rsidR="002D6C66" w:rsidRPr="002D6C66" w:rsidRDefault="002D6C66" w:rsidP="002D6C66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D6C6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В съответствие с нормата на </w:t>
      </w:r>
      <w:hyperlink r:id="rId22" w:anchor="D2006112EO_chl_132" w:history="1">
        <w:r w:rsidRPr="002D6C6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bg-BG"/>
          </w:rPr>
          <w:t>чл. 132, параграф 1, буква „з“</w:t>
        </w:r>
      </w:hyperlink>
      <w:r w:rsidRPr="002D6C6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от Директива 2006/112/ЕO се въвежда в разпоредбите на </w:t>
      </w:r>
      <w:hyperlink r:id="rId23" w:anchor="zdds_chl_40" w:history="1">
        <w:r w:rsidRPr="002D6C66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bg-BG"/>
          </w:rPr>
          <w:t xml:space="preserve">чл. 40, т. 4 </w:t>
        </w:r>
      </w:hyperlink>
      <w:r w:rsidRPr="002D6C6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от ЗДДС, че </w:t>
      </w:r>
      <w:r w:rsidRPr="002D6C66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освободена </w:t>
      </w:r>
      <w:r w:rsidRPr="002D6C66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lastRenderedPageBreak/>
        <w:t>доставка</w:t>
      </w:r>
      <w:r w:rsidRPr="002D6C6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е извършването на </w:t>
      </w:r>
      <w:r w:rsidRPr="002D6C6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bg-BG"/>
        </w:rPr>
        <w:t>посредничество при международно осиновяване по Семейния кодекс</w:t>
      </w:r>
      <w:r w:rsidRPr="002D6C66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</w:p>
    <w:p w:rsidR="002D6C66" w:rsidRPr="002D6C66" w:rsidRDefault="002D6C66" w:rsidP="002D6C66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D6C6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Въвежда се </w:t>
      </w:r>
      <w:r w:rsidRPr="002D6C66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възможността, предвидена в </w:t>
      </w:r>
      <w:hyperlink r:id="rId24" w:anchor="D2006112EO_chl_211" w:history="1">
        <w:r w:rsidRPr="002D6C66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bg-BG"/>
          </w:rPr>
          <w:t>чл. 211, параграф 2</w:t>
        </w:r>
      </w:hyperlink>
      <w:r w:rsidRPr="002D6C6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от Директива 2006/112/ЕO, за </w:t>
      </w:r>
      <w:r w:rsidRPr="002D6C6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bg-BG"/>
        </w:rPr>
        <w:t>отложено начисляване на ДДС от вносител при внос на стоки</w:t>
      </w:r>
      <w:r w:rsidRPr="002D6C6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на територията на страната – </w:t>
      </w:r>
      <w:hyperlink r:id="rId25" w:anchor="zdds_chl_57" w:history="1">
        <w:r w:rsidRPr="002D6C66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bg-BG"/>
          </w:rPr>
          <w:t xml:space="preserve">чл. 57, ал. 5 и ал. 6 </w:t>
        </w:r>
      </w:hyperlink>
      <w:r w:rsidRPr="002D6C66">
        <w:rPr>
          <w:rFonts w:ascii="Times New Roman" w:eastAsia="Times New Roman" w:hAnsi="Times New Roman" w:cs="Times New Roman"/>
          <w:sz w:val="24"/>
          <w:szCs w:val="24"/>
          <w:lang w:eastAsia="bg-BG"/>
        </w:rPr>
        <w:t>от ЗДДС.</w:t>
      </w:r>
    </w:p>
    <w:p w:rsidR="002D6C66" w:rsidRPr="002D6C66" w:rsidRDefault="002D6C66" w:rsidP="002D6C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D6C6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Тази опция ще може да се прилага за </w:t>
      </w:r>
      <w:r w:rsidRPr="002D6C66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определени видове стоки</w:t>
      </w:r>
      <w:r w:rsidRPr="002D6C6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които не са акцизни стоки и не са предназначени за крайно потребление и са посочени в </w:t>
      </w:r>
      <w:hyperlink r:id="rId26" w:anchor="zdds_pr_3" w:history="1">
        <w:r w:rsidRPr="002D6C66">
          <w:rPr>
            <w:rFonts w:ascii="Times New Roman" w:eastAsia="Times New Roman" w:hAnsi="Times New Roman" w:cs="Times New Roman"/>
            <w:b/>
            <w:bCs/>
            <w:i/>
            <w:iCs/>
            <w:color w:val="0000FF"/>
            <w:sz w:val="24"/>
            <w:szCs w:val="24"/>
            <w:u w:val="single"/>
            <w:lang w:eastAsia="bg-BG"/>
          </w:rPr>
          <w:t>Приложение № 3</w:t>
        </w:r>
      </w:hyperlink>
      <w:r w:rsidRPr="002D6C66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</w:p>
    <w:p w:rsidR="002D6C66" w:rsidRPr="002D6C66" w:rsidRDefault="002D6C66" w:rsidP="002D6C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D6C66">
        <w:rPr>
          <w:rFonts w:ascii="Times New Roman" w:eastAsia="Times New Roman" w:hAnsi="Times New Roman" w:cs="Times New Roman"/>
          <w:sz w:val="24"/>
          <w:szCs w:val="24"/>
          <w:lang w:eastAsia="bg-BG"/>
        </w:rPr>
        <w:t> </w:t>
      </w:r>
    </w:p>
    <w:p w:rsidR="002D6C66" w:rsidRPr="002D6C66" w:rsidRDefault="002D6C66" w:rsidP="002D6C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D6C6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Лицата, които изпълняват предвидените в </w:t>
      </w:r>
      <w:hyperlink r:id="rId27" w:anchor="zdds_chl_167a" w:history="1">
        <w:r w:rsidRPr="002D6C66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bg-BG"/>
          </w:rPr>
          <w:t>чл. 167а</w:t>
        </w:r>
      </w:hyperlink>
      <w:r w:rsidRPr="002D6C6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условия, ще могат да начисляват дължимия при внос данък в справката – декларация за ДДС, като </w:t>
      </w:r>
      <w:r w:rsidRPr="002D6C66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отпада задължението за ефективно внасяне на данъка в съответното митническо </w:t>
      </w:r>
      <w:proofErr w:type="spellStart"/>
      <w:r w:rsidRPr="002D6C66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учреждение</w:t>
      </w:r>
      <w:proofErr w:type="spellEnd"/>
      <w:r w:rsidRPr="002D6C66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</w:p>
    <w:p w:rsidR="002D6C66" w:rsidRPr="002D6C66" w:rsidRDefault="002D6C66" w:rsidP="002D6C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D6C66">
        <w:rPr>
          <w:rFonts w:ascii="Times New Roman" w:eastAsia="Times New Roman" w:hAnsi="Times New Roman" w:cs="Times New Roman"/>
          <w:sz w:val="24"/>
          <w:szCs w:val="24"/>
          <w:lang w:eastAsia="bg-BG"/>
        </w:rPr>
        <w:t> </w:t>
      </w:r>
    </w:p>
    <w:p w:rsidR="002D6C66" w:rsidRPr="002D6C66" w:rsidRDefault="002D6C66" w:rsidP="002D6C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D6C6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Ще е налице и </w:t>
      </w:r>
      <w:r w:rsidRPr="002D6C66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право на приспадане на данъчен кредит</w:t>
      </w:r>
      <w:r w:rsidRPr="002D6C6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по реда на </w:t>
      </w:r>
      <w:hyperlink r:id="rId28" w:anchor="zdds_chl_71" w:history="1">
        <w:r w:rsidRPr="002D6C66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bg-BG"/>
          </w:rPr>
          <w:t>чл. 71, т. 10</w:t>
        </w:r>
      </w:hyperlink>
      <w:r w:rsidRPr="002D6C6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от ЗДДС.</w:t>
      </w:r>
    </w:p>
    <w:p w:rsidR="002D6C66" w:rsidRPr="002D6C66" w:rsidRDefault="002D6C66" w:rsidP="002D6C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D6C66">
        <w:rPr>
          <w:rFonts w:ascii="Times New Roman" w:eastAsia="Times New Roman" w:hAnsi="Times New Roman" w:cs="Times New Roman"/>
          <w:sz w:val="24"/>
          <w:szCs w:val="24"/>
          <w:lang w:eastAsia="bg-BG"/>
        </w:rPr>
        <w:t> </w:t>
      </w:r>
    </w:p>
    <w:p w:rsidR="002D6C66" w:rsidRPr="002D6C66" w:rsidRDefault="002D6C66" w:rsidP="002D6C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D6C6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Митническата администрация ще предоставя информация на НАП по електронен път за този режим – </w:t>
      </w:r>
      <w:hyperlink r:id="rId29" w:anchor="zdds_chl_170" w:history="1">
        <w:r w:rsidRPr="002D6C66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bg-BG"/>
          </w:rPr>
          <w:t>чл. 170, ал. 1</w:t>
        </w:r>
      </w:hyperlink>
      <w:r w:rsidRPr="002D6C6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от ЗДДС.</w:t>
      </w:r>
    </w:p>
    <w:p w:rsidR="002D6C66" w:rsidRPr="002D6C66" w:rsidRDefault="002D6C66" w:rsidP="002D6C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D6C66">
        <w:rPr>
          <w:rFonts w:ascii="Times New Roman" w:eastAsia="Times New Roman" w:hAnsi="Times New Roman" w:cs="Times New Roman"/>
          <w:sz w:val="24"/>
          <w:szCs w:val="24"/>
          <w:lang w:eastAsia="bg-BG"/>
        </w:rPr>
        <w:t> </w:t>
      </w:r>
    </w:p>
    <w:p w:rsidR="002D6C66" w:rsidRPr="002D6C66" w:rsidRDefault="002D6C66" w:rsidP="002D6C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D6C6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Следва да се обърне внимание на обстоятелството, че </w:t>
      </w:r>
      <w:r w:rsidRPr="002D6C66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разпоредбите, относно този специален режим на отложено начисляване на ДДС</w:t>
      </w:r>
      <w:r w:rsidRPr="002D6C6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влизат в сила </w:t>
      </w:r>
      <w:r w:rsidRPr="002D6C66">
        <w:rPr>
          <w:rFonts w:ascii="Times New Roman" w:eastAsia="Times New Roman" w:hAnsi="Times New Roman" w:cs="Times New Roman"/>
          <w:i/>
          <w:iCs/>
          <w:sz w:val="24"/>
          <w:szCs w:val="24"/>
          <w:lang w:eastAsia="bg-BG"/>
        </w:rPr>
        <w:t xml:space="preserve">от </w:t>
      </w:r>
      <w:r w:rsidRPr="002D6C6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bg-BG"/>
        </w:rPr>
        <w:t>01.07.2019 г</w:t>
      </w:r>
      <w:r w:rsidRPr="002D6C66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.</w:t>
      </w:r>
    </w:p>
    <w:p w:rsidR="002D6C66" w:rsidRPr="002D6C66" w:rsidRDefault="002D6C66" w:rsidP="002D6C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D6C66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Промени, в резултат на констатирани несъответствия с правото на ЕС: </w:t>
      </w:r>
    </w:p>
    <w:p w:rsidR="002D6C66" w:rsidRPr="002D6C66" w:rsidRDefault="002D6C66" w:rsidP="002D6C66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D6C66">
        <w:rPr>
          <w:rFonts w:ascii="Times New Roman" w:eastAsia="Times New Roman" w:hAnsi="Times New Roman" w:cs="Times New Roman"/>
          <w:sz w:val="24"/>
          <w:szCs w:val="24"/>
          <w:lang w:eastAsia="bg-BG"/>
        </w:rPr>
        <w:t>Във връзка с</w:t>
      </w:r>
      <w:r w:rsidRPr="002D6C66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решение на СЕС по </w:t>
      </w:r>
      <w:hyperlink r:id="rId30" w:history="1">
        <w:r w:rsidRPr="002D6C66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bg-BG"/>
          </w:rPr>
          <w:t>дело С-33/16</w:t>
        </w:r>
      </w:hyperlink>
      <w:r w:rsidRPr="002D6C66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</w:t>
      </w:r>
      <w:r w:rsidRPr="002D6C6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и </w:t>
      </w:r>
      <w:hyperlink r:id="rId31" w:anchor="D2006112EO_chl_148" w:history="1">
        <w:r w:rsidRPr="002D6C6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bg-BG"/>
          </w:rPr>
          <w:t>чл. 148</w:t>
        </w:r>
      </w:hyperlink>
      <w:r w:rsidRPr="002D6C6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от Директива 2006/112/ЕО, в </w:t>
      </w:r>
      <w:hyperlink r:id="rId32" w:anchor="zdds_chl_31" w:history="1">
        <w:r w:rsidRPr="002D6C66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bg-BG"/>
          </w:rPr>
          <w:t>чл. 31</w:t>
        </w:r>
      </w:hyperlink>
      <w:r w:rsidRPr="002D6C6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от ЗДДС се въвежда </w:t>
      </w:r>
      <w:r w:rsidRPr="002D6C66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нулева ставка на данъка</w:t>
      </w:r>
      <w:r w:rsidRPr="002D6C6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на услуги за посрещане на </w:t>
      </w:r>
      <w:r w:rsidRPr="002D6C66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непосредствените нужди</w:t>
      </w:r>
      <w:r w:rsidRPr="002D6C6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на </w:t>
      </w:r>
      <w:r w:rsidRPr="002D6C6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bg-BG"/>
        </w:rPr>
        <w:t>плавателните съдове и въздухоплавателните средства</w:t>
      </w:r>
      <w:r w:rsidRPr="002D6C66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</w:p>
    <w:p w:rsidR="002D6C66" w:rsidRPr="002D6C66" w:rsidRDefault="002D6C66" w:rsidP="002D6C66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D6C6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Във връзка с </w:t>
      </w:r>
      <w:r w:rsidRPr="002D6C66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решение на СЕС по </w:t>
      </w:r>
      <w:hyperlink r:id="rId33" w:history="1">
        <w:r w:rsidRPr="002D6C66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bg-BG"/>
          </w:rPr>
          <w:t>дело С-552/1</w:t>
        </w:r>
      </w:hyperlink>
      <w:r w:rsidRPr="002D6C66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6</w:t>
      </w:r>
      <w:r w:rsidRPr="002D6C6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Pr="002D6C6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bg-BG"/>
        </w:rPr>
        <w:t>не е налице</w:t>
      </w:r>
      <w:r w:rsidRPr="002D6C66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основание за задължителна </w:t>
      </w:r>
      <w:proofErr w:type="spellStart"/>
      <w:r w:rsidRPr="002D6C66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дерегистрация</w:t>
      </w:r>
      <w:proofErr w:type="spellEnd"/>
      <w:r w:rsidRPr="002D6C66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при прекратяване на юридическо лице</w:t>
      </w:r>
      <w:r w:rsidRPr="002D6C6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– търговец с ликвидация, когато </w:t>
      </w:r>
      <w:r w:rsidRPr="002D6C6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bg-BG"/>
        </w:rPr>
        <w:t>юридическото лице е избрало да остане регистрирано</w:t>
      </w:r>
      <w:r w:rsidRPr="002D6C6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до датата на заличаването му от търговския регистър - </w:t>
      </w:r>
      <w:hyperlink r:id="rId34" w:anchor="zdds_chl_107" w:history="1">
        <w:r w:rsidRPr="002D6C66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bg-BG"/>
          </w:rPr>
          <w:t>чл. 107, т.4, буква”а”, „</w:t>
        </w:r>
        <w:proofErr w:type="spellStart"/>
        <w:r w:rsidRPr="002D6C66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bg-BG"/>
          </w:rPr>
          <w:t>бб</w:t>
        </w:r>
        <w:proofErr w:type="spellEnd"/>
        <w:r w:rsidRPr="002D6C66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bg-BG"/>
          </w:rPr>
          <w:t>”</w:t>
        </w:r>
      </w:hyperlink>
      <w:r w:rsidRPr="002D6C6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от ЗДДС.  </w:t>
      </w:r>
    </w:p>
    <w:p w:rsidR="002D6C66" w:rsidRPr="002D6C66" w:rsidRDefault="002D6C66" w:rsidP="002D6C6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D6C66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Промени, в резултат на констатирани от Европейската комисия неизпълнения на Република България и открити процедури за нарушение:</w:t>
      </w:r>
    </w:p>
    <w:p w:rsidR="002D6C66" w:rsidRPr="002D6C66" w:rsidRDefault="002D6C66" w:rsidP="002D6C66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D6C6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Във връзка с получено официално уведомително писмо С (2018) 1352 на ЕК по открита процедура за Нарушение № 2017/4125 за неизпълнение на задълженията на Република България по </w:t>
      </w:r>
      <w:hyperlink r:id="rId35" w:anchor="D2006112EO_chl_74" w:history="1">
        <w:r w:rsidRPr="002D6C6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bg-BG"/>
          </w:rPr>
          <w:t>членове 74</w:t>
        </w:r>
      </w:hyperlink>
      <w:r w:rsidRPr="002D6C6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и </w:t>
      </w:r>
      <w:hyperlink r:id="rId36" w:anchor="D2006112EO_chl_76" w:history="1">
        <w:r w:rsidRPr="002D6C6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bg-BG"/>
          </w:rPr>
          <w:t>76</w:t>
        </w:r>
      </w:hyperlink>
      <w:r w:rsidRPr="002D6C6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от Директива 2006/112/ЕО, поради несъответствието с тях на разпоредбите на </w:t>
      </w:r>
      <w:hyperlink r:id="rId37" w:anchor="zdds_chl_27" w:history="1">
        <w:r w:rsidRPr="002D6C66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bg-BG"/>
          </w:rPr>
          <w:t>чл. 27, ал. 1</w:t>
        </w:r>
      </w:hyperlink>
      <w:r w:rsidRPr="002D6C66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и </w:t>
      </w:r>
      <w:hyperlink r:id="rId38" w:anchor="zdds_chl_52" w:history="1">
        <w:r w:rsidRPr="002D6C66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bg-BG"/>
          </w:rPr>
          <w:t>чл. 52, ал. 2</w:t>
        </w:r>
      </w:hyperlink>
      <w:r w:rsidRPr="002D6C66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</w:t>
      </w:r>
      <w:r w:rsidRPr="002D6C6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от ЗДДС, се променя </w:t>
      </w:r>
      <w:r w:rsidRPr="002D6C6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bg-BG"/>
        </w:rPr>
        <w:t>редът за определянето на данъчната основа</w:t>
      </w:r>
      <w:r w:rsidRPr="002D6C66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</w:p>
    <w:p w:rsidR="002D6C66" w:rsidRPr="002D6C66" w:rsidRDefault="002D6C66" w:rsidP="002D6C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D6C66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Данъчната основа на доставката </w:t>
      </w:r>
      <w:r w:rsidRPr="002D6C66">
        <w:rPr>
          <w:rFonts w:ascii="Times New Roman" w:eastAsia="Times New Roman" w:hAnsi="Times New Roman" w:cs="Times New Roman"/>
          <w:sz w:val="24"/>
          <w:szCs w:val="24"/>
          <w:lang w:eastAsia="bg-BG"/>
        </w:rPr>
        <w:t>на</w:t>
      </w:r>
      <w:r w:rsidRPr="002D6C66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стока</w:t>
      </w:r>
      <w:r w:rsidRPr="002D6C6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е:</w:t>
      </w:r>
    </w:p>
    <w:p w:rsidR="002D6C66" w:rsidRPr="002D6C66" w:rsidRDefault="002D6C66" w:rsidP="002D6C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D6C66">
        <w:rPr>
          <w:rFonts w:ascii="Times New Roman" w:eastAsia="Times New Roman" w:hAnsi="Times New Roman" w:cs="Times New Roman"/>
          <w:sz w:val="24"/>
          <w:szCs w:val="24"/>
          <w:lang w:eastAsia="bg-BG"/>
        </w:rPr>
        <w:t> </w:t>
      </w:r>
    </w:p>
    <w:p w:rsidR="002D6C66" w:rsidRPr="002D6C66" w:rsidRDefault="002D6C66" w:rsidP="002D6C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D6C6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-   </w:t>
      </w:r>
      <w:r w:rsidRPr="002D6C66">
        <w:rPr>
          <w:rFonts w:ascii="Times New Roman" w:eastAsia="Times New Roman" w:hAnsi="Times New Roman" w:cs="Times New Roman"/>
          <w:i/>
          <w:iCs/>
          <w:sz w:val="24"/>
          <w:szCs w:val="24"/>
          <w:lang w:eastAsia="bg-BG"/>
        </w:rPr>
        <w:t xml:space="preserve">себестойността </w:t>
      </w:r>
      <w:r w:rsidRPr="002D6C66">
        <w:rPr>
          <w:rFonts w:ascii="Times New Roman" w:eastAsia="Times New Roman" w:hAnsi="Times New Roman" w:cs="Times New Roman"/>
          <w:sz w:val="24"/>
          <w:szCs w:val="24"/>
          <w:lang w:eastAsia="bg-BG"/>
        </w:rPr>
        <w:t>или</w:t>
      </w:r>
    </w:p>
    <w:p w:rsidR="002D6C66" w:rsidRPr="002D6C66" w:rsidRDefault="002D6C66" w:rsidP="002D6C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D6C6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-   </w:t>
      </w:r>
      <w:r w:rsidRPr="002D6C66">
        <w:rPr>
          <w:rFonts w:ascii="Times New Roman" w:eastAsia="Times New Roman" w:hAnsi="Times New Roman" w:cs="Times New Roman"/>
          <w:i/>
          <w:iCs/>
          <w:sz w:val="24"/>
          <w:szCs w:val="24"/>
          <w:lang w:eastAsia="bg-BG"/>
        </w:rPr>
        <w:t>тази при придобиването, намалена с разход за изхабяване</w:t>
      </w:r>
      <w:r w:rsidRPr="002D6C6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предвид обичайния икономически живот на стоката.</w:t>
      </w:r>
    </w:p>
    <w:p w:rsidR="002D6C66" w:rsidRPr="002D6C66" w:rsidRDefault="002D6C66" w:rsidP="002D6C66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D6C66">
        <w:rPr>
          <w:rFonts w:ascii="Times New Roman" w:eastAsia="Times New Roman" w:hAnsi="Times New Roman" w:cs="Times New Roman"/>
          <w:sz w:val="24"/>
          <w:szCs w:val="24"/>
          <w:lang w:eastAsia="bg-BG"/>
        </w:rPr>
        <w:lastRenderedPageBreak/>
        <w:t xml:space="preserve">Във връзка с получено официално уведомително писмо С (2018) 1350 на ЕК по открита процедура за нарушение № 2017/4110 за неизпълнение на Република България на задълженията по </w:t>
      </w:r>
      <w:hyperlink r:id="rId39" w:anchor="D2006112EO_chl_273" w:history="1">
        <w:r w:rsidRPr="002D6C6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bg-BG"/>
          </w:rPr>
          <w:t>чл. 273</w:t>
        </w:r>
      </w:hyperlink>
      <w:r w:rsidRPr="002D6C6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от Директива 2006/112/ЕО на Съвета и чл. 16 от Хартата на основните права на Европейския съюз, поради несъответствието с тях на разпоредбите на </w:t>
      </w:r>
      <w:hyperlink r:id="rId40" w:anchor="zdds_chl_176v" w:history="1">
        <w:r w:rsidRPr="002D6C66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bg-BG"/>
          </w:rPr>
          <w:t>чл. 176в, ал. 2 и ал. 3</w:t>
        </w:r>
      </w:hyperlink>
      <w:r w:rsidRPr="002D6C6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от ЗДДС, </w:t>
      </w:r>
      <w:r w:rsidRPr="002D6C66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отпада</w:t>
      </w:r>
      <w:r w:rsidRPr="002D6C6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изискването</w:t>
      </w:r>
      <w:r w:rsidRPr="002D6C66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размерът на обезпечението да </w:t>
      </w:r>
      <w:r w:rsidRPr="002D6C6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bg-BG"/>
        </w:rPr>
        <w:t>не може да бъде по-малък</w:t>
      </w:r>
      <w:r w:rsidRPr="002D6C66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от 50 000 лв</w:t>
      </w:r>
      <w:r w:rsidRPr="002D6C66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</w:p>
    <w:p w:rsidR="002D6C66" w:rsidRPr="002D6C66" w:rsidRDefault="002D6C66" w:rsidP="002D6C6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D6C66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Промени, свързани с намаляване на административната тежест върху бизнеса:</w:t>
      </w:r>
    </w:p>
    <w:p w:rsidR="002D6C66" w:rsidRPr="002D6C66" w:rsidRDefault="002D6C66" w:rsidP="002D6C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D6C66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 </w:t>
      </w:r>
    </w:p>
    <w:p w:rsidR="002D6C66" w:rsidRPr="002D6C66" w:rsidRDefault="002D6C66" w:rsidP="002D6C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D6C66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Във връзка с намаляване на административната тежест на данъчно задължените лица</w:t>
      </w:r>
      <w:r w:rsidRPr="002D6C6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се правят следните промени:</w:t>
      </w:r>
    </w:p>
    <w:p w:rsidR="002D6C66" w:rsidRPr="002D6C66" w:rsidRDefault="002D6C66" w:rsidP="002D6C66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proofErr w:type="spellStart"/>
      <w:r w:rsidRPr="002D6C66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дерегистрация</w:t>
      </w:r>
      <w:proofErr w:type="spellEnd"/>
      <w:r w:rsidRPr="002D6C66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по избор след изтичането на 12 месеца</w:t>
      </w:r>
      <w:r w:rsidRPr="002D6C6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от началото на календарната година, следваща годината на доброволната регистрация (</w:t>
      </w:r>
      <w:hyperlink r:id="rId41" w:anchor="zdds_chl_108" w:history="1">
        <w:r w:rsidRPr="002D6C66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bg-BG"/>
          </w:rPr>
          <w:t>чл. 108, ал. 2</w:t>
        </w:r>
      </w:hyperlink>
      <w:r w:rsidRPr="002D6C6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от ЗДДС).</w:t>
      </w:r>
    </w:p>
    <w:p w:rsidR="002D6C66" w:rsidRPr="002D6C66" w:rsidRDefault="002D6C66" w:rsidP="002D6C66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D6C6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срокът за </w:t>
      </w:r>
      <w:r w:rsidRPr="002D6C66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внасяне на данъка по справката декларация за последния данъчен период</w:t>
      </w:r>
      <w:r w:rsidRPr="002D6C6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се увеличава до края на календарния месец, следващ месеца, през който е следвало да бъде подадена (</w:t>
      </w:r>
      <w:hyperlink r:id="rId42" w:anchor="zdds_chl_89" w:history="1">
        <w:r w:rsidRPr="002D6C66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bg-BG"/>
          </w:rPr>
          <w:t>чл. 89, ал. 2</w:t>
        </w:r>
      </w:hyperlink>
      <w:r w:rsidRPr="002D6C6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от ЗДДС).</w:t>
      </w:r>
    </w:p>
    <w:p w:rsidR="002D6C66" w:rsidRPr="002D6C66" w:rsidRDefault="002D6C66" w:rsidP="002D6C66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D6C6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когато </w:t>
      </w:r>
      <w:r w:rsidRPr="002D6C66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едно лице се </w:t>
      </w:r>
      <w:proofErr w:type="spellStart"/>
      <w:r w:rsidRPr="002D6C66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дерегистрира</w:t>
      </w:r>
      <w:proofErr w:type="spellEnd"/>
      <w:r w:rsidRPr="002D6C6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(без значение от основанието) и </w:t>
      </w:r>
      <w:r w:rsidRPr="002D6C66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повторно се регистрира по закона в рамките на един данъчен период</w:t>
      </w:r>
      <w:r w:rsidRPr="002D6C6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- за стоките и услугите, които са били налични, както към датата на </w:t>
      </w:r>
      <w:proofErr w:type="spellStart"/>
      <w:r w:rsidRPr="002D6C66">
        <w:rPr>
          <w:rFonts w:ascii="Times New Roman" w:eastAsia="Times New Roman" w:hAnsi="Times New Roman" w:cs="Times New Roman"/>
          <w:sz w:val="24"/>
          <w:szCs w:val="24"/>
          <w:lang w:eastAsia="bg-BG"/>
        </w:rPr>
        <w:t>дерегистрацията</w:t>
      </w:r>
      <w:proofErr w:type="spellEnd"/>
      <w:r w:rsidRPr="002D6C6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така и към датата на </w:t>
      </w:r>
      <w:proofErr w:type="spellStart"/>
      <w:r w:rsidRPr="002D6C66">
        <w:rPr>
          <w:rFonts w:ascii="Times New Roman" w:eastAsia="Times New Roman" w:hAnsi="Times New Roman" w:cs="Times New Roman"/>
          <w:sz w:val="24"/>
          <w:szCs w:val="24"/>
          <w:lang w:eastAsia="bg-BG"/>
        </w:rPr>
        <w:t>последващата</w:t>
      </w:r>
      <w:proofErr w:type="spellEnd"/>
      <w:r w:rsidRPr="002D6C6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регистрация </w:t>
      </w:r>
      <w:r w:rsidRPr="002D6C6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bg-BG"/>
        </w:rPr>
        <w:t xml:space="preserve">не се начислява данък при </w:t>
      </w:r>
      <w:proofErr w:type="spellStart"/>
      <w:r w:rsidRPr="002D6C6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bg-BG"/>
        </w:rPr>
        <w:t>дерегистрацията</w:t>
      </w:r>
      <w:proofErr w:type="spellEnd"/>
      <w:r w:rsidRPr="002D6C6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(</w:t>
      </w:r>
      <w:hyperlink r:id="rId43" w:anchor="zdds_chl_111" w:history="1">
        <w:r w:rsidRPr="002D6C66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bg-BG"/>
          </w:rPr>
          <w:t>чл. 111, ал. 2, т. 5</w:t>
        </w:r>
      </w:hyperlink>
      <w:r w:rsidRPr="002D6C6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от ЗДДС).</w:t>
      </w:r>
    </w:p>
    <w:p w:rsidR="002D6C66" w:rsidRPr="002D6C66" w:rsidRDefault="002D6C66" w:rsidP="002D6C66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D6C66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при повторна регистрация по ЗДДС след </w:t>
      </w:r>
      <w:proofErr w:type="spellStart"/>
      <w:r w:rsidRPr="002D6C66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дерегистрация</w:t>
      </w:r>
      <w:proofErr w:type="spellEnd"/>
      <w:r w:rsidRPr="002D6C6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регистрираното лице има </w:t>
      </w:r>
      <w:r w:rsidRPr="002D6C66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право да приспадне начисления данък при </w:t>
      </w:r>
      <w:proofErr w:type="spellStart"/>
      <w:r w:rsidRPr="002D6C66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дерегистрацията</w:t>
      </w:r>
      <w:proofErr w:type="spellEnd"/>
      <w:r w:rsidRPr="002D6C6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му по този закон </w:t>
      </w:r>
      <w:r w:rsidRPr="002D6C66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за обложените активи по </w:t>
      </w:r>
      <w:hyperlink r:id="rId44" w:anchor="zdds_chl_111" w:history="1">
        <w:r w:rsidRPr="002D6C66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bg-BG"/>
          </w:rPr>
          <w:t>чл. 111, ал. 1, т. 1</w:t>
        </w:r>
      </w:hyperlink>
      <w:r w:rsidRPr="002D6C6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които са </w:t>
      </w:r>
      <w:r w:rsidRPr="002D6C6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bg-BG"/>
        </w:rPr>
        <w:t xml:space="preserve">налични към датата на </w:t>
      </w:r>
      <w:proofErr w:type="spellStart"/>
      <w:r w:rsidRPr="002D6C6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bg-BG"/>
        </w:rPr>
        <w:t>последващата</w:t>
      </w:r>
      <w:proofErr w:type="spellEnd"/>
      <w:r w:rsidRPr="002D6C6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bg-BG"/>
        </w:rPr>
        <w:t xml:space="preserve"> му регистрация</w:t>
      </w:r>
      <w:r w:rsidRPr="002D6C6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когато </w:t>
      </w:r>
      <w:r w:rsidRPr="002D6C6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bg-BG"/>
        </w:rPr>
        <w:t xml:space="preserve">начисленият данък при </w:t>
      </w:r>
      <w:proofErr w:type="spellStart"/>
      <w:r w:rsidRPr="002D6C6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bg-BG"/>
        </w:rPr>
        <w:t>дерегистрацията</w:t>
      </w:r>
      <w:proofErr w:type="spellEnd"/>
      <w:r w:rsidRPr="002D6C6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bg-BG"/>
        </w:rPr>
        <w:t xml:space="preserve"> е внесен ефективно </w:t>
      </w:r>
      <w:r w:rsidRPr="002D6C6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или е прихванат от органа по приходите, с изключение на случаите, когато </w:t>
      </w:r>
      <w:proofErr w:type="spellStart"/>
      <w:r w:rsidRPr="002D6C66">
        <w:rPr>
          <w:rFonts w:ascii="Times New Roman" w:eastAsia="Times New Roman" w:hAnsi="Times New Roman" w:cs="Times New Roman"/>
          <w:sz w:val="24"/>
          <w:szCs w:val="24"/>
          <w:lang w:eastAsia="bg-BG"/>
        </w:rPr>
        <w:t>последващата</w:t>
      </w:r>
      <w:proofErr w:type="spellEnd"/>
      <w:r w:rsidRPr="002D6C6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регистрация на лицето е в срока за внасяне на данъка за последния данъчен период (</w:t>
      </w:r>
      <w:hyperlink r:id="rId45" w:anchor="zdds_chl_76" w:history="1">
        <w:r w:rsidRPr="002D6C66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bg-BG"/>
          </w:rPr>
          <w:t>чл. 76, ал. 2, т. 2</w:t>
        </w:r>
      </w:hyperlink>
      <w:r w:rsidRPr="002D6C6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от ЗДДС).</w:t>
      </w:r>
    </w:p>
    <w:p w:rsidR="002D6C66" w:rsidRPr="002D6C66" w:rsidRDefault="002D6C66" w:rsidP="002D6C66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D6C66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регистърът за </w:t>
      </w:r>
      <w:proofErr w:type="spellStart"/>
      <w:r w:rsidRPr="002D6C66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вътреобщностни</w:t>
      </w:r>
      <w:proofErr w:type="spellEnd"/>
      <w:r w:rsidRPr="002D6C66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доставки на нови превозни средства</w:t>
      </w:r>
      <w:r w:rsidRPr="002D6C6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по които получатели са нерегистрирани за целите на ДДС лица в други държави членки, </w:t>
      </w:r>
      <w:r w:rsidRPr="002D6C66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който регистър водят регистрираните лица,</w:t>
      </w:r>
      <w:r w:rsidRPr="002D6C6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извършили такива доставки през съответното календарно тримесечие </w:t>
      </w:r>
      <w:r w:rsidRPr="002D6C6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bg-BG"/>
        </w:rPr>
        <w:t>се подава по електронен път</w:t>
      </w:r>
      <w:r w:rsidRPr="002D6C6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(</w:t>
      </w:r>
      <w:hyperlink r:id="rId46" w:anchor="zdds_chl_125" w:history="1">
        <w:r w:rsidRPr="002D6C66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bg-BG"/>
          </w:rPr>
          <w:t>чл. 125, ал. 9</w:t>
        </w:r>
      </w:hyperlink>
      <w:r w:rsidRPr="002D6C6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от ЗДДС).</w:t>
      </w:r>
    </w:p>
    <w:p w:rsidR="002D6C66" w:rsidRPr="002D6C66" w:rsidRDefault="002D6C66" w:rsidP="002D6C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D6C66">
        <w:rPr>
          <w:rFonts w:ascii="Times New Roman" w:eastAsia="Times New Roman" w:hAnsi="Times New Roman" w:cs="Times New Roman"/>
          <w:sz w:val="24"/>
          <w:szCs w:val="24"/>
          <w:lang w:eastAsia="bg-BG"/>
        </w:rPr>
        <w:t> </w:t>
      </w:r>
    </w:p>
    <w:p w:rsidR="002D6C66" w:rsidRPr="002D6C66" w:rsidRDefault="002D6C66" w:rsidP="002D6C6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D6C66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Прецизиране на разпоредби и редакционни промени, свързани с възникнали затруднения при практическото прилагане на закона:</w:t>
      </w:r>
    </w:p>
    <w:p w:rsidR="002D6C66" w:rsidRPr="002D6C66" w:rsidRDefault="002D6C66" w:rsidP="002D6C66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D6C6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Удължава се </w:t>
      </w:r>
      <w:r w:rsidRPr="002D6C66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срокът на прилагане на механизма за обратно начисляване на ДДС</w:t>
      </w:r>
      <w:r w:rsidRPr="002D6C6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при доставки на зърнени и технически култури </w:t>
      </w:r>
      <w:r w:rsidRPr="002D6C66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до 30.06.2022 г. </w:t>
      </w:r>
    </w:p>
    <w:p w:rsidR="002D6C66" w:rsidRPr="002D6C66" w:rsidRDefault="002D6C66" w:rsidP="002D6C66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D6C6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С цел правна сигурност при извършване на корекция на ползван данъчен кредит за дълготраен актив, </w:t>
      </w:r>
      <w:r w:rsidRPr="002D6C66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в ЗДДС се пренасят разпоредби от ППЗДДС</w:t>
      </w:r>
      <w:r w:rsidRPr="002D6C6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които </w:t>
      </w:r>
      <w:r w:rsidRPr="002D6C66">
        <w:rPr>
          <w:rFonts w:ascii="Times New Roman" w:eastAsia="Times New Roman" w:hAnsi="Times New Roman" w:cs="Times New Roman"/>
          <w:sz w:val="24"/>
          <w:szCs w:val="24"/>
          <w:lang w:eastAsia="bg-BG"/>
        </w:rPr>
        <w:lastRenderedPageBreak/>
        <w:t xml:space="preserve">регламентират, че </w:t>
      </w:r>
      <w:r w:rsidRPr="002D6C6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bg-BG"/>
        </w:rPr>
        <w:t>5-годишният срок, съответно 20-годишният срок, спира да тече за всяка календарна година</w:t>
      </w:r>
      <w:r w:rsidRPr="002D6C66">
        <w:rPr>
          <w:rFonts w:ascii="Times New Roman" w:eastAsia="Times New Roman" w:hAnsi="Times New Roman" w:cs="Times New Roman"/>
          <w:sz w:val="24"/>
          <w:szCs w:val="24"/>
          <w:lang w:eastAsia="bg-BG"/>
        </w:rPr>
        <w:t>, през която дълготрайният актив изобщо</w:t>
      </w:r>
      <w:r w:rsidRPr="002D6C66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не се използва</w:t>
      </w:r>
      <w:r w:rsidRPr="002D6C66">
        <w:rPr>
          <w:rFonts w:ascii="Times New Roman" w:eastAsia="Times New Roman" w:hAnsi="Times New Roman" w:cs="Times New Roman"/>
          <w:sz w:val="24"/>
          <w:szCs w:val="24"/>
          <w:lang w:eastAsia="bg-BG"/>
        </w:rPr>
        <w:t>. Изяснява се и възобновяването на този срок (</w:t>
      </w:r>
      <w:hyperlink r:id="rId47" w:anchor="zdds_chl_79a" w:history="1">
        <w:r w:rsidRPr="002D6C66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bg-BG"/>
          </w:rPr>
          <w:t>чл. 79а, ал. 8</w:t>
        </w:r>
      </w:hyperlink>
      <w:r w:rsidRPr="002D6C66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и </w:t>
      </w:r>
      <w:hyperlink r:id="rId48" w:anchor="zdds_chl_79b" w:history="1">
        <w:r w:rsidRPr="002D6C66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bg-BG"/>
          </w:rPr>
          <w:t>чл. 79б, ал. 7</w:t>
        </w:r>
      </w:hyperlink>
      <w:r w:rsidRPr="002D6C6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от ЗДДС).</w:t>
      </w:r>
    </w:p>
    <w:p w:rsidR="002D6C66" w:rsidRPr="002D6C66" w:rsidRDefault="002D6C66" w:rsidP="002D6C66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D6C6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Предвижда се генериране </w:t>
      </w:r>
      <w:r w:rsidRPr="002D6C66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в електронен вид на фискалния/системния бон при продажба чрез електронен магазин </w:t>
      </w:r>
      <w:r w:rsidRPr="002D6C66">
        <w:rPr>
          <w:rFonts w:ascii="Times New Roman" w:eastAsia="Times New Roman" w:hAnsi="Times New Roman" w:cs="Times New Roman"/>
          <w:sz w:val="24"/>
          <w:szCs w:val="24"/>
          <w:lang w:eastAsia="bg-BG"/>
        </w:rPr>
        <w:t>на стоки или услуги (</w:t>
      </w:r>
      <w:hyperlink r:id="rId49" w:anchor="zdds_chl_118" w:history="1">
        <w:r w:rsidRPr="002D6C66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bg-BG"/>
          </w:rPr>
          <w:t>чл. 118, ал. 3</w:t>
        </w:r>
      </w:hyperlink>
      <w:r w:rsidRPr="002D6C6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от ЗДДС).</w:t>
      </w:r>
    </w:p>
    <w:p w:rsidR="002D6C66" w:rsidRPr="002D6C66" w:rsidRDefault="002D6C66" w:rsidP="002D6C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D6C66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НАП ще поддържа публичен електронен списък на електронните магазини, чрез които български задължени лица извършват търговска дейност в интернет</w:t>
      </w:r>
      <w:r w:rsidRPr="002D6C66">
        <w:rPr>
          <w:rFonts w:ascii="Times New Roman" w:eastAsia="Times New Roman" w:hAnsi="Times New Roman" w:cs="Times New Roman"/>
          <w:sz w:val="24"/>
          <w:szCs w:val="24"/>
          <w:lang w:eastAsia="bg-BG"/>
        </w:rPr>
        <w:t>, с цел защита на потребителите при пазаруване в интернет и намаляване на сивия сектор в интернет търговията (</w:t>
      </w:r>
      <w:hyperlink r:id="rId50" w:anchor="zdds_chl_118" w:history="1">
        <w:r w:rsidRPr="002D6C66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bg-BG"/>
          </w:rPr>
          <w:t>чл. 118, ал. 19</w:t>
        </w:r>
      </w:hyperlink>
      <w:r w:rsidRPr="002D6C6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от ЗДДС).</w:t>
      </w:r>
    </w:p>
    <w:p w:rsidR="002D6C66" w:rsidRPr="002D6C66" w:rsidRDefault="002D6C66" w:rsidP="002D6C66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D6C6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С цел премахване на несъразмерността на прилаганата от закона </w:t>
      </w:r>
      <w:proofErr w:type="spellStart"/>
      <w:r w:rsidRPr="002D6C66">
        <w:rPr>
          <w:rFonts w:ascii="Times New Roman" w:eastAsia="Times New Roman" w:hAnsi="Times New Roman" w:cs="Times New Roman"/>
          <w:sz w:val="24"/>
          <w:szCs w:val="24"/>
          <w:lang w:eastAsia="bg-BG"/>
        </w:rPr>
        <w:t>административнонаказателна</w:t>
      </w:r>
      <w:proofErr w:type="spellEnd"/>
      <w:r w:rsidRPr="002D6C6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норма се </w:t>
      </w:r>
      <w:r w:rsidRPr="002D6C66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отменя разпоредбата на </w:t>
      </w:r>
      <w:hyperlink r:id="rId51" w:anchor="zdds_chl_186" w:history="1">
        <w:r w:rsidRPr="002D6C66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bg-BG"/>
          </w:rPr>
          <w:t>чл. 186, ал. 1, т. 1</w:t>
        </w:r>
      </w:hyperlink>
      <w:r w:rsidRPr="002D6C66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, буква „в” от ЗДДС за принудително запечатване на обект за срок 30 дни</w:t>
      </w:r>
      <w:r w:rsidRPr="002D6C6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в случаите на неспазване на реда или начина на ежедневно отчитане на оборотите от продажби, когато това е задължително (</w:t>
      </w:r>
      <w:hyperlink r:id="rId52" w:anchor="zdds_chl_186" w:history="1">
        <w:r w:rsidRPr="002D6C66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bg-BG"/>
          </w:rPr>
          <w:t>чл. 186, ал. 1, т. 1</w:t>
        </w:r>
      </w:hyperlink>
      <w:r w:rsidRPr="002D6C66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, буква „в”</w:t>
      </w:r>
      <w:r w:rsidRPr="002D6C6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от ЗДДС).</w:t>
      </w:r>
    </w:p>
    <w:p w:rsidR="002D6C66" w:rsidRPr="002D6C66" w:rsidRDefault="002D6C66" w:rsidP="002D6C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D6C66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Измененията в ЗДДС </w:t>
      </w:r>
      <w:r w:rsidRPr="002D6C66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влизат </w:t>
      </w:r>
      <w:r w:rsidRPr="002D6C66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в сила от 01.01.2019 г. </w:t>
      </w:r>
      <w:r w:rsidRPr="002D6C6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bg-BG"/>
        </w:rPr>
        <w:t>с изключение</w:t>
      </w:r>
      <w:r w:rsidRPr="002D6C66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</w:t>
      </w:r>
      <w:r w:rsidRPr="002D6C66">
        <w:rPr>
          <w:rFonts w:ascii="Times New Roman" w:eastAsia="Times New Roman" w:hAnsi="Times New Roman" w:cs="Times New Roman"/>
          <w:sz w:val="24"/>
          <w:szCs w:val="24"/>
          <w:lang w:eastAsia="bg-BG"/>
        </w:rPr>
        <w:t>на</w:t>
      </w:r>
      <w:r w:rsidRPr="002D6C66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нормите за отложено начисляване на ДДС при внос</w:t>
      </w:r>
      <w:r w:rsidRPr="002D6C66">
        <w:rPr>
          <w:rFonts w:ascii="Times New Roman" w:eastAsia="Times New Roman" w:hAnsi="Times New Roman" w:cs="Times New Roman"/>
          <w:sz w:val="24"/>
          <w:szCs w:val="24"/>
          <w:lang w:eastAsia="bg-BG"/>
        </w:rPr>
        <w:t>, които влизат в сила</w:t>
      </w:r>
      <w:r w:rsidRPr="002D6C66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от 01.07.2019 г.</w:t>
      </w:r>
    </w:p>
    <w:p w:rsidR="002D6C66" w:rsidRPr="002D6C66" w:rsidRDefault="002D6C66" w:rsidP="002D6C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D6C66">
        <w:rPr>
          <w:rFonts w:ascii="Times New Roman" w:eastAsia="Times New Roman" w:hAnsi="Times New Roman" w:cs="Times New Roman"/>
          <w:sz w:val="24"/>
          <w:szCs w:val="24"/>
          <w:lang w:eastAsia="bg-BG"/>
        </w:rPr>
        <w:t> </w:t>
      </w:r>
    </w:p>
    <w:p w:rsidR="002D6C66" w:rsidRPr="002D6C66" w:rsidRDefault="002D6C66" w:rsidP="002D6C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sectPr w:rsidR="002D6C66" w:rsidRPr="002D6C66" w:rsidSect="00FC26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F37B91"/>
    <w:multiLevelType w:val="multilevel"/>
    <w:tmpl w:val="70A043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AA167E8"/>
    <w:multiLevelType w:val="multilevel"/>
    <w:tmpl w:val="F5903D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B18581E"/>
    <w:multiLevelType w:val="multilevel"/>
    <w:tmpl w:val="7EFE5E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CD7534D"/>
    <w:multiLevelType w:val="multilevel"/>
    <w:tmpl w:val="0CF203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CE84363"/>
    <w:multiLevelType w:val="multilevel"/>
    <w:tmpl w:val="D3ECBD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F6B7DFD"/>
    <w:multiLevelType w:val="multilevel"/>
    <w:tmpl w:val="6EDE9B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9C369BF"/>
    <w:multiLevelType w:val="multilevel"/>
    <w:tmpl w:val="021095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A1F1D15"/>
    <w:multiLevelType w:val="multilevel"/>
    <w:tmpl w:val="E81656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CA73EE1"/>
    <w:multiLevelType w:val="multilevel"/>
    <w:tmpl w:val="E19CC5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F190FA3"/>
    <w:multiLevelType w:val="multilevel"/>
    <w:tmpl w:val="3F481D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0450184"/>
    <w:multiLevelType w:val="multilevel"/>
    <w:tmpl w:val="BAE8D8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0514FB2"/>
    <w:multiLevelType w:val="multilevel"/>
    <w:tmpl w:val="621AE0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5054298"/>
    <w:multiLevelType w:val="multilevel"/>
    <w:tmpl w:val="EC8401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66D3993"/>
    <w:multiLevelType w:val="multilevel"/>
    <w:tmpl w:val="012678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FF44308"/>
    <w:multiLevelType w:val="multilevel"/>
    <w:tmpl w:val="B122E2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9CB225D"/>
    <w:multiLevelType w:val="multilevel"/>
    <w:tmpl w:val="0FC435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552A03FA"/>
    <w:multiLevelType w:val="multilevel"/>
    <w:tmpl w:val="57BADA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65B8142B"/>
    <w:multiLevelType w:val="multilevel"/>
    <w:tmpl w:val="D1A422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65F253BA"/>
    <w:multiLevelType w:val="multilevel"/>
    <w:tmpl w:val="99BAF3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69AB0C78"/>
    <w:multiLevelType w:val="multilevel"/>
    <w:tmpl w:val="6308BA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72590868"/>
    <w:multiLevelType w:val="multilevel"/>
    <w:tmpl w:val="7B40C0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727B3BD8"/>
    <w:multiLevelType w:val="multilevel"/>
    <w:tmpl w:val="180245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7F4A1F82"/>
    <w:multiLevelType w:val="multilevel"/>
    <w:tmpl w:val="0F48C3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9"/>
  </w:num>
  <w:num w:numId="2">
    <w:abstractNumId w:val="17"/>
  </w:num>
  <w:num w:numId="3">
    <w:abstractNumId w:val="9"/>
  </w:num>
  <w:num w:numId="4">
    <w:abstractNumId w:val="12"/>
  </w:num>
  <w:num w:numId="5">
    <w:abstractNumId w:val="8"/>
  </w:num>
  <w:num w:numId="6">
    <w:abstractNumId w:val="18"/>
  </w:num>
  <w:num w:numId="7">
    <w:abstractNumId w:val="3"/>
  </w:num>
  <w:num w:numId="8">
    <w:abstractNumId w:val="1"/>
  </w:num>
  <w:num w:numId="9">
    <w:abstractNumId w:val="14"/>
  </w:num>
  <w:num w:numId="10">
    <w:abstractNumId w:val="22"/>
  </w:num>
  <w:num w:numId="11">
    <w:abstractNumId w:val="7"/>
  </w:num>
  <w:num w:numId="12">
    <w:abstractNumId w:val="15"/>
  </w:num>
  <w:num w:numId="13">
    <w:abstractNumId w:val="4"/>
  </w:num>
  <w:num w:numId="14">
    <w:abstractNumId w:val="6"/>
  </w:num>
  <w:num w:numId="15">
    <w:abstractNumId w:val="0"/>
  </w:num>
  <w:num w:numId="16">
    <w:abstractNumId w:val="11"/>
  </w:num>
  <w:num w:numId="17">
    <w:abstractNumId w:val="16"/>
  </w:num>
  <w:num w:numId="18">
    <w:abstractNumId w:val="21"/>
  </w:num>
  <w:num w:numId="19">
    <w:abstractNumId w:val="13"/>
  </w:num>
  <w:num w:numId="20">
    <w:abstractNumId w:val="2"/>
  </w:num>
  <w:num w:numId="21">
    <w:abstractNumId w:val="5"/>
  </w:num>
  <w:num w:numId="22">
    <w:abstractNumId w:val="20"/>
  </w:num>
  <w:num w:numId="23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D6C66"/>
    <w:rsid w:val="002D6C66"/>
    <w:rsid w:val="00F65778"/>
    <w:rsid w:val="00FC26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26F1"/>
  </w:style>
  <w:style w:type="paragraph" w:styleId="2">
    <w:name w:val="heading 2"/>
    <w:basedOn w:val="a"/>
    <w:link w:val="20"/>
    <w:uiPriority w:val="9"/>
    <w:qFormat/>
    <w:rsid w:val="002D6C6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лавие 2 Знак"/>
    <w:basedOn w:val="a0"/>
    <w:link w:val="2"/>
    <w:uiPriority w:val="9"/>
    <w:rsid w:val="002D6C66"/>
    <w:rPr>
      <w:rFonts w:ascii="Times New Roman" w:eastAsia="Times New Roman" w:hAnsi="Times New Roman" w:cs="Times New Roman"/>
      <w:b/>
      <w:bCs/>
      <w:sz w:val="36"/>
      <w:szCs w:val="36"/>
      <w:lang w:eastAsia="bg-BG"/>
    </w:rPr>
  </w:style>
  <w:style w:type="character" w:styleId="a3">
    <w:name w:val="Hyperlink"/>
    <w:basedOn w:val="a0"/>
    <w:uiPriority w:val="99"/>
    <w:semiHidden/>
    <w:unhideWhenUsed/>
    <w:rsid w:val="002D6C66"/>
    <w:rPr>
      <w:color w:val="0000FF"/>
      <w:u w:val="single"/>
    </w:rPr>
  </w:style>
  <w:style w:type="character" w:styleId="a4">
    <w:name w:val="Strong"/>
    <w:basedOn w:val="a0"/>
    <w:uiPriority w:val="22"/>
    <w:qFormat/>
    <w:rsid w:val="002D6C66"/>
    <w:rPr>
      <w:b/>
      <w:bCs/>
    </w:rPr>
  </w:style>
  <w:style w:type="character" w:styleId="a5">
    <w:name w:val="Emphasis"/>
    <w:basedOn w:val="a0"/>
    <w:uiPriority w:val="20"/>
    <w:qFormat/>
    <w:rsid w:val="002D6C66"/>
    <w:rPr>
      <w:i/>
      <w:iCs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2D6C66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bg-BG"/>
    </w:rPr>
  </w:style>
  <w:style w:type="character" w:customStyle="1" w:styleId="z-0">
    <w:name w:val="z-Начало формуляр Знак"/>
    <w:basedOn w:val="a0"/>
    <w:link w:val="z-"/>
    <w:uiPriority w:val="99"/>
    <w:semiHidden/>
    <w:rsid w:val="002D6C66"/>
    <w:rPr>
      <w:rFonts w:ascii="Arial" w:eastAsia="Times New Roman" w:hAnsi="Arial" w:cs="Arial"/>
      <w:vanish/>
      <w:sz w:val="16"/>
      <w:szCs w:val="16"/>
      <w:lang w:eastAsia="bg-BG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2D6C66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bg-BG"/>
    </w:rPr>
  </w:style>
  <w:style w:type="character" w:customStyle="1" w:styleId="z-2">
    <w:name w:val="z-Край формуляр Знак"/>
    <w:basedOn w:val="a0"/>
    <w:link w:val="z-1"/>
    <w:uiPriority w:val="99"/>
    <w:semiHidden/>
    <w:rsid w:val="002D6C66"/>
    <w:rPr>
      <w:rFonts w:ascii="Arial" w:eastAsia="Times New Roman" w:hAnsi="Arial" w:cs="Arial"/>
      <w:vanish/>
      <w:sz w:val="16"/>
      <w:szCs w:val="16"/>
      <w:lang w:eastAsia="bg-BG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048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1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75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065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35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6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643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33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72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15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4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21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5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28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6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05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6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38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10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9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68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1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0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89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90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95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45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2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81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29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9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2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84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06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02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93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134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5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0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04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94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1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2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4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56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35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236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54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1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59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64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4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0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61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78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14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087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32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15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46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2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97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76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01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825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6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07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53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97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3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79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812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4341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2844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tita.bg/page/20" TargetMode="External"/><Relationship Id="rId18" Type="http://schemas.openxmlformats.org/officeDocument/2006/relationships/hyperlink" Target="https://www.tita.bg/page/20" TargetMode="External"/><Relationship Id="rId26" Type="http://schemas.openxmlformats.org/officeDocument/2006/relationships/hyperlink" Target="https://www.tita.bg/page/20" TargetMode="External"/><Relationship Id="rId39" Type="http://schemas.openxmlformats.org/officeDocument/2006/relationships/hyperlink" Target="https://www.tita.bg/page/258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tita.bg/page/20" TargetMode="External"/><Relationship Id="rId34" Type="http://schemas.openxmlformats.org/officeDocument/2006/relationships/hyperlink" Target="https://www.tita.bg/page/20" TargetMode="External"/><Relationship Id="rId42" Type="http://schemas.openxmlformats.org/officeDocument/2006/relationships/hyperlink" Target="https://www.tita.bg/page/20" TargetMode="External"/><Relationship Id="rId47" Type="http://schemas.openxmlformats.org/officeDocument/2006/relationships/hyperlink" Target="https://www.tita.bg/page/20" TargetMode="External"/><Relationship Id="rId50" Type="http://schemas.openxmlformats.org/officeDocument/2006/relationships/hyperlink" Target="https://www.tita.bg/page/20" TargetMode="External"/><Relationship Id="rId7" Type="http://schemas.openxmlformats.org/officeDocument/2006/relationships/hyperlink" Target="https://eur-lex.europa.eu/legal-content/BG/TXT/PDF/?uri=CELEX:32016L1065&amp;from=ET" TargetMode="External"/><Relationship Id="rId12" Type="http://schemas.openxmlformats.org/officeDocument/2006/relationships/hyperlink" Target="https://www.tita.bg/page/49" TargetMode="External"/><Relationship Id="rId17" Type="http://schemas.openxmlformats.org/officeDocument/2006/relationships/hyperlink" Target="https://eur-lex.europa.eu/legal-content/BG/TXT/PDF/?uri=CELEX:32017L2455&amp;from=EN" TargetMode="External"/><Relationship Id="rId25" Type="http://schemas.openxmlformats.org/officeDocument/2006/relationships/hyperlink" Target="https://www.tita.bg/page/20" TargetMode="External"/><Relationship Id="rId33" Type="http://schemas.openxmlformats.org/officeDocument/2006/relationships/hyperlink" Target="http://curia.europa.eu/juris/document/document.jsf?text=&amp;docid=196508&amp;pageIndex=0&amp;doclang=BG&amp;mode=lst&amp;dir=&amp;occ=first&amp;part=1&amp;cid=3256554" TargetMode="External"/><Relationship Id="rId38" Type="http://schemas.openxmlformats.org/officeDocument/2006/relationships/hyperlink" Target="https://www.tita.bg/page/20" TargetMode="External"/><Relationship Id="rId46" Type="http://schemas.openxmlformats.org/officeDocument/2006/relationships/hyperlink" Target="https://www.tita.bg/page/20" TargetMode="External"/><Relationship Id="rId2" Type="http://schemas.openxmlformats.org/officeDocument/2006/relationships/styles" Target="styles.xml"/><Relationship Id="rId16" Type="http://schemas.openxmlformats.org/officeDocument/2006/relationships/hyperlink" Target="https://eur-lex.europa.eu/legal-content/BG/TXT/PDF/?uri=CELEX:32018L0912&amp;from=PL" TargetMode="External"/><Relationship Id="rId20" Type="http://schemas.openxmlformats.org/officeDocument/2006/relationships/hyperlink" Target="https://www.tita.bg/page/20" TargetMode="External"/><Relationship Id="rId29" Type="http://schemas.openxmlformats.org/officeDocument/2006/relationships/hyperlink" Target="https://www.tita.bg/page/20" TargetMode="External"/><Relationship Id="rId41" Type="http://schemas.openxmlformats.org/officeDocument/2006/relationships/hyperlink" Target="https://www.tita.bg/page/20" TargetMode="External"/><Relationship Id="rId54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www.tita.bg/page/20" TargetMode="External"/><Relationship Id="rId11" Type="http://schemas.openxmlformats.org/officeDocument/2006/relationships/hyperlink" Target="https://www.tita.bg/page/20" TargetMode="External"/><Relationship Id="rId24" Type="http://schemas.openxmlformats.org/officeDocument/2006/relationships/hyperlink" Target="https://www.tita.bg/page/258" TargetMode="External"/><Relationship Id="rId32" Type="http://schemas.openxmlformats.org/officeDocument/2006/relationships/hyperlink" Target="https://www.tita.bg/page/20" TargetMode="External"/><Relationship Id="rId37" Type="http://schemas.openxmlformats.org/officeDocument/2006/relationships/hyperlink" Target="https://www.tita.bg/page/20" TargetMode="External"/><Relationship Id="rId40" Type="http://schemas.openxmlformats.org/officeDocument/2006/relationships/hyperlink" Target="https://www.tita.bg/page/20" TargetMode="External"/><Relationship Id="rId45" Type="http://schemas.openxmlformats.org/officeDocument/2006/relationships/hyperlink" Target="https://www.tita.bg/page/20" TargetMode="External"/><Relationship Id="rId53" Type="http://schemas.openxmlformats.org/officeDocument/2006/relationships/fontTable" Target="fontTable.xml"/><Relationship Id="rId5" Type="http://schemas.openxmlformats.org/officeDocument/2006/relationships/hyperlink" Target="http://dv.parliament.bg/DVWeb/showMaterialDV.jsp;jsessionid=95DFA899A7ACA5B6DC09D4B126DA9074?idMat=132294" TargetMode="External"/><Relationship Id="rId15" Type="http://schemas.openxmlformats.org/officeDocument/2006/relationships/hyperlink" Target="https://www.tita.bg/page/20" TargetMode="External"/><Relationship Id="rId23" Type="http://schemas.openxmlformats.org/officeDocument/2006/relationships/hyperlink" Target="https://www.tita.bg/page/20" TargetMode="External"/><Relationship Id="rId28" Type="http://schemas.openxmlformats.org/officeDocument/2006/relationships/hyperlink" Target="https://www.tita.bg/page/20" TargetMode="External"/><Relationship Id="rId36" Type="http://schemas.openxmlformats.org/officeDocument/2006/relationships/hyperlink" Target="https://www.tita.bg/page/258" TargetMode="External"/><Relationship Id="rId49" Type="http://schemas.openxmlformats.org/officeDocument/2006/relationships/hyperlink" Target="https://www.tita.bg/page/20" TargetMode="External"/><Relationship Id="rId10" Type="http://schemas.openxmlformats.org/officeDocument/2006/relationships/hyperlink" Target="https://www.tita.bg/page/20" TargetMode="External"/><Relationship Id="rId19" Type="http://schemas.openxmlformats.org/officeDocument/2006/relationships/hyperlink" Target="https://www.tita.bg/page/20" TargetMode="External"/><Relationship Id="rId31" Type="http://schemas.openxmlformats.org/officeDocument/2006/relationships/hyperlink" Target="https://www.tita.bg/page/258" TargetMode="External"/><Relationship Id="rId44" Type="http://schemas.openxmlformats.org/officeDocument/2006/relationships/hyperlink" Target="https://www.tita.bg/page/20" TargetMode="External"/><Relationship Id="rId52" Type="http://schemas.openxmlformats.org/officeDocument/2006/relationships/hyperlink" Target="https://www.tita.bg/page/2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tita.bg/page/20" TargetMode="External"/><Relationship Id="rId14" Type="http://schemas.openxmlformats.org/officeDocument/2006/relationships/hyperlink" Target="https://www.tita.bg/page/20" TargetMode="External"/><Relationship Id="rId22" Type="http://schemas.openxmlformats.org/officeDocument/2006/relationships/hyperlink" Target="https://www.tita.bg/page/258" TargetMode="External"/><Relationship Id="rId27" Type="http://schemas.openxmlformats.org/officeDocument/2006/relationships/hyperlink" Target="https://www.tita.bg/page/20" TargetMode="External"/><Relationship Id="rId30" Type="http://schemas.openxmlformats.org/officeDocument/2006/relationships/hyperlink" Target="http://curia.europa.eu/juris/document/document.jsf?text=&amp;docid=190324&amp;pageIndex=0&amp;doclang=bg&amp;mode=lst&amp;dir=&amp;occ=first&amp;part=1&amp;cid=3256641" TargetMode="External"/><Relationship Id="rId35" Type="http://schemas.openxmlformats.org/officeDocument/2006/relationships/hyperlink" Target="https://www.tita.bg/page/258" TargetMode="External"/><Relationship Id="rId43" Type="http://schemas.openxmlformats.org/officeDocument/2006/relationships/hyperlink" Target="https://www.tita.bg/page/20" TargetMode="External"/><Relationship Id="rId48" Type="http://schemas.openxmlformats.org/officeDocument/2006/relationships/hyperlink" Target="https://www.tita.bg/page/20" TargetMode="External"/><Relationship Id="rId8" Type="http://schemas.openxmlformats.org/officeDocument/2006/relationships/hyperlink" Target="https://www.tita.bg/page/20" TargetMode="External"/><Relationship Id="rId51" Type="http://schemas.openxmlformats.org/officeDocument/2006/relationships/hyperlink" Target="https://www.tita.bg/page/20" TargetMode="Externa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2048</Words>
  <Characters>11674</Characters>
  <Application>Microsoft Office Word</Application>
  <DocSecurity>0</DocSecurity>
  <Lines>97</Lines>
  <Paragraphs>27</Paragraphs>
  <ScaleCrop>false</ScaleCrop>
  <Company/>
  <LinksUpToDate>false</LinksUpToDate>
  <CharactersWithSpaces>13695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lastModifiedBy>a</cp:lastModifiedBy>
  <cp:revision>1</cp:revision>
  <dcterms:created xsi:type="dcterms:W3CDTF">2019-01-05T18:58:00Z</dcterms:created>
  <dcterms:modified xsi:type="dcterms:W3CDTF">2019-01-05T19:00:00Z</dcterms:modified>
</cp:coreProperties>
</file>