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B16" w:rsidRPr="001E6B16" w:rsidRDefault="001E6B16" w:rsidP="001E6B16">
      <w:pPr>
        <w:spacing w:before="100" w:beforeAutospacing="1" w:after="100" w:afterAutospacing="1" w:line="240" w:lineRule="auto"/>
        <w:outlineLvl w:val="1"/>
        <w:rPr>
          <w:rFonts w:ascii="Times New Roman" w:eastAsia="Times New Roman" w:hAnsi="Times New Roman" w:cs="Times New Roman"/>
          <w:b/>
          <w:bCs/>
          <w:sz w:val="36"/>
          <w:szCs w:val="36"/>
          <w:lang w:eastAsia="bg-BG"/>
        </w:rPr>
      </w:pPr>
      <w:r w:rsidRPr="001E6B16">
        <w:rPr>
          <w:rFonts w:ascii="Times New Roman" w:eastAsia="Times New Roman" w:hAnsi="Times New Roman" w:cs="Times New Roman"/>
          <w:b/>
          <w:bCs/>
          <w:sz w:val="36"/>
          <w:szCs w:val="36"/>
          <w:lang w:eastAsia="bg-BG"/>
        </w:rPr>
        <w:t>ПРОМЕНИ В ОБЛАСТТА НА ПЕНСИОННОТО ОСИГУРЯВАНЕ, ВЛИЗАЩИ В СИЛА ОТ 01.01.2019 Г.</w:t>
      </w:r>
    </w:p>
    <w:p w:rsidR="001E6B16" w:rsidRPr="001E6B16" w:rsidRDefault="001E6B16" w:rsidP="001E6B16">
      <w:p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b/>
          <w:bCs/>
          <w:i/>
          <w:iCs/>
          <w:sz w:val="24"/>
          <w:szCs w:val="24"/>
          <w:lang w:eastAsia="bg-BG"/>
        </w:rPr>
        <w:t>I. Промени, произтичащи от показателите в Закона за бюджета на държавното обществено осигуряване (ЗБДОО) за 2019 г.</w:t>
      </w:r>
    </w:p>
    <w:p w:rsidR="001E6B16" w:rsidRPr="001E6B16" w:rsidRDefault="001E6B16" w:rsidP="001E6B16">
      <w:p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b/>
          <w:bCs/>
          <w:sz w:val="24"/>
          <w:szCs w:val="24"/>
          <w:lang w:eastAsia="bg-BG"/>
        </w:rPr>
        <w:t>1. Размери на месечния осигурителен доход за 2019 г:</w:t>
      </w:r>
    </w:p>
    <w:p w:rsidR="001E6B16" w:rsidRPr="001E6B16" w:rsidRDefault="001E6B16" w:rsidP="001E6B1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sz w:val="24"/>
          <w:szCs w:val="24"/>
          <w:lang w:eastAsia="bg-BG"/>
        </w:rPr>
        <w:t xml:space="preserve">минимален месечен размер на осигурителния доход за </w:t>
      </w:r>
      <w:proofErr w:type="spellStart"/>
      <w:r w:rsidRPr="001E6B16">
        <w:rPr>
          <w:rFonts w:ascii="Times New Roman" w:eastAsia="Times New Roman" w:hAnsi="Times New Roman" w:cs="Times New Roman"/>
          <w:sz w:val="24"/>
          <w:szCs w:val="24"/>
          <w:lang w:eastAsia="bg-BG"/>
        </w:rPr>
        <w:t>самоосигуряващите</w:t>
      </w:r>
      <w:proofErr w:type="spellEnd"/>
      <w:r w:rsidRPr="001E6B16">
        <w:rPr>
          <w:rFonts w:ascii="Times New Roman" w:eastAsia="Times New Roman" w:hAnsi="Times New Roman" w:cs="Times New Roman"/>
          <w:sz w:val="24"/>
          <w:szCs w:val="24"/>
          <w:lang w:eastAsia="bg-BG"/>
        </w:rPr>
        <w:t xml:space="preserve"> се лица - </w:t>
      </w:r>
      <w:r w:rsidRPr="001E6B16">
        <w:rPr>
          <w:rFonts w:ascii="Times New Roman" w:eastAsia="Times New Roman" w:hAnsi="Times New Roman" w:cs="Times New Roman"/>
          <w:b/>
          <w:bCs/>
          <w:sz w:val="24"/>
          <w:szCs w:val="24"/>
          <w:lang w:eastAsia="bg-BG"/>
        </w:rPr>
        <w:t>560 лв.</w:t>
      </w:r>
      <w:r w:rsidRPr="001E6B16">
        <w:rPr>
          <w:rFonts w:ascii="Times New Roman" w:eastAsia="Times New Roman" w:hAnsi="Times New Roman" w:cs="Times New Roman"/>
          <w:sz w:val="24"/>
          <w:szCs w:val="24"/>
          <w:lang w:eastAsia="bg-BG"/>
        </w:rPr>
        <w:t>;</w:t>
      </w:r>
    </w:p>
    <w:p w:rsidR="001E6B16" w:rsidRPr="001E6B16" w:rsidRDefault="001E6B16" w:rsidP="001E6B1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sz w:val="24"/>
          <w:szCs w:val="24"/>
          <w:lang w:eastAsia="bg-BG"/>
        </w:rPr>
        <w:t xml:space="preserve">минимален месечен размер на осигурителния доход за регистрираните земеделски стопани и тютюнопроизводители – </w:t>
      </w:r>
      <w:r w:rsidRPr="001E6B16">
        <w:rPr>
          <w:rFonts w:ascii="Times New Roman" w:eastAsia="Times New Roman" w:hAnsi="Times New Roman" w:cs="Times New Roman"/>
          <w:b/>
          <w:bCs/>
          <w:sz w:val="24"/>
          <w:szCs w:val="24"/>
          <w:lang w:eastAsia="bg-BG"/>
        </w:rPr>
        <w:t>400 лв.</w:t>
      </w:r>
      <w:r w:rsidRPr="001E6B16">
        <w:rPr>
          <w:rFonts w:ascii="Times New Roman" w:eastAsia="Times New Roman" w:hAnsi="Times New Roman" w:cs="Times New Roman"/>
          <w:sz w:val="24"/>
          <w:szCs w:val="24"/>
          <w:lang w:eastAsia="bg-BG"/>
        </w:rPr>
        <w:t>;</w:t>
      </w:r>
    </w:p>
    <w:p w:rsidR="001E6B16" w:rsidRPr="001E6B16" w:rsidRDefault="001E6B16" w:rsidP="001E6B1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sz w:val="24"/>
          <w:szCs w:val="24"/>
          <w:lang w:eastAsia="bg-BG"/>
        </w:rPr>
        <w:t xml:space="preserve">максимален месечен размер на осигурителния доход – </w:t>
      </w:r>
      <w:r w:rsidRPr="001E6B16">
        <w:rPr>
          <w:rFonts w:ascii="Times New Roman" w:eastAsia="Times New Roman" w:hAnsi="Times New Roman" w:cs="Times New Roman"/>
          <w:b/>
          <w:bCs/>
          <w:sz w:val="24"/>
          <w:szCs w:val="24"/>
          <w:lang w:eastAsia="bg-BG"/>
        </w:rPr>
        <w:t>3000 лв.</w:t>
      </w:r>
    </w:p>
    <w:p w:rsidR="001E6B16" w:rsidRPr="001E6B16" w:rsidRDefault="001E6B16" w:rsidP="001E6B16">
      <w:p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b/>
          <w:bCs/>
          <w:sz w:val="24"/>
          <w:szCs w:val="24"/>
          <w:lang w:eastAsia="bg-BG"/>
        </w:rPr>
        <w:t>2. Размери на осигурителните вноски за фонд „Пенсии“ на държавното обществено осигуряване</w:t>
      </w:r>
      <w:r w:rsidRPr="001E6B16">
        <w:rPr>
          <w:rFonts w:ascii="Times New Roman" w:eastAsia="Times New Roman" w:hAnsi="Times New Roman" w:cs="Times New Roman"/>
          <w:sz w:val="24"/>
          <w:szCs w:val="24"/>
          <w:lang w:eastAsia="bg-BG"/>
        </w:rPr>
        <w:t xml:space="preserve"> в процент от осигурителния доход на лицата, работещи при условията на III категория труд - без промяна спрямо 2018 г., както следва:</w:t>
      </w:r>
    </w:p>
    <w:p w:rsidR="001E6B16" w:rsidRPr="001E6B16" w:rsidRDefault="001E6B16" w:rsidP="001E6B16">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sz w:val="24"/>
          <w:szCs w:val="24"/>
          <w:lang w:eastAsia="bg-BG"/>
        </w:rPr>
        <w:t xml:space="preserve">за лицата, родени до 31.12.1959 г., включително - </w:t>
      </w:r>
      <w:r w:rsidRPr="001E6B16">
        <w:rPr>
          <w:rFonts w:ascii="Times New Roman" w:eastAsia="Times New Roman" w:hAnsi="Times New Roman" w:cs="Times New Roman"/>
          <w:b/>
          <w:bCs/>
          <w:sz w:val="24"/>
          <w:szCs w:val="24"/>
          <w:lang w:eastAsia="bg-BG"/>
        </w:rPr>
        <w:t>19,8 на сто</w:t>
      </w:r>
      <w:r w:rsidRPr="001E6B16">
        <w:rPr>
          <w:rFonts w:ascii="Times New Roman" w:eastAsia="Times New Roman" w:hAnsi="Times New Roman" w:cs="Times New Roman"/>
          <w:sz w:val="24"/>
          <w:szCs w:val="24"/>
          <w:lang w:eastAsia="bg-BG"/>
        </w:rPr>
        <w:t>;</w:t>
      </w:r>
    </w:p>
    <w:p w:rsidR="001E6B16" w:rsidRPr="001E6B16" w:rsidRDefault="001E6B16" w:rsidP="001E6B16">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sz w:val="24"/>
          <w:szCs w:val="24"/>
          <w:lang w:eastAsia="bg-BG"/>
        </w:rPr>
        <w:t xml:space="preserve">за лицата, родени след 31.12.1959 г. – </w:t>
      </w:r>
      <w:r w:rsidRPr="001E6B16">
        <w:rPr>
          <w:rFonts w:ascii="Times New Roman" w:eastAsia="Times New Roman" w:hAnsi="Times New Roman" w:cs="Times New Roman"/>
          <w:b/>
          <w:bCs/>
          <w:sz w:val="24"/>
          <w:szCs w:val="24"/>
          <w:lang w:eastAsia="bg-BG"/>
        </w:rPr>
        <w:t>14,8 на сто</w:t>
      </w:r>
      <w:r w:rsidRPr="001E6B16">
        <w:rPr>
          <w:rFonts w:ascii="Times New Roman" w:eastAsia="Times New Roman" w:hAnsi="Times New Roman" w:cs="Times New Roman"/>
          <w:sz w:val="24"/>
          <w:szCs w:val="24"/>
          <w:lang w:eastAsia="bg-BG"/>
        </w:rPr>
        <w:t>.</w:t>
      </w:r>
    </w:p>
    <w:p w:rsidR="001E6B16" w:rsidRPr="001E6B16" w:rsidRDefault="001E6B16" w:rsidP="001E6B16">
      <w:p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b/>
          <w:bCs/>
          <w:sz w:val="24"/>
          <w:szCs w:val="24"/>
          <w:lang w:eastAsia="bg-BG"/>
        </w:rPr>
        <w:t>3. Размер на осигурителната вноска за закупуване на един месец осигурителен стаж</w:t>
      </w:r>
      <w:r w:rsidRPr="001E6B16">
        <w:rPr>
          <w:rFonts w:ascii="Times New Roman" w:eastAsia="Times New Roman" w:hAnsi="Times New Roman" w:cs="Times New Roman"/>
          <w:sz w:val="24"/>
          <w:szCs w:val="24"/>
          <w:lang w:eastAsia="bg-BG"/>
        </w:rPr>
        <w:t xml:space="preserve"> за завършено висше или полувисше образование, както и за недостигащ стаж при пенсионирането (чл. 9а, ал. 1, 2 и 6 от Кодекса за социално осигуряване) - </w:t>
      </w:r>
      <w:r w:rsidRPr="001E6B16">
        <w:rPr>
          <w:rFonts w:ascii="Times New Roman" w:eastAsia="Times New Roman" w:hAnsi="Times New Roman" w:cs="Times New Roman"/>
          <w:b/>
          <w:bCs/>
          <w:sz w:val="24"/>
          <w:szCs w:val="24"/>
          <w:lang w:eastAsia="bg-BG"/>
        </w:rPr>
        <w:t>110,88 лв.</w:t>
      </w:r>
      <w:r w:rsidRPr="001E6B16">
        <w:rPr>
          <w:rFonts w:ascii="Times New Roman" w:eastAsia="Times New Roman" w:hAnsi="Times New Roman" w:cs="Times New Roman"/>
          <w:sz w:val="24"/>
          <w:szCs w:val="24"/>
          <w:lang w:eastAsia="bg-BG"/>
        </w:rPr>
        <w:t xml:space="preserve"> (19,8 на сто х 560 лв. - минимален месечен размер на осигурителния доход за </w:t>
      </w:r>
      <w:proofErr w:type="spellStart"/>
      <w:r w:rsidRPr="001E6B16">
        <w:rPr>
          <w:rFonts w:ascii="Times New Roman" w:eastAsia="Times New Roman" w:hAnsi="Times New Roman" w:cs="Times New Roman"/>
          <w:sz w:val="24"/>
          <w:szCs w:val="24"/>
          <w:lang w:eastAsia="bg-BG"/>
        </w:rPr>
        <w:t>самоосигуряващите</w:t>
      </w:r>
      <w:proofErr w:type="spellEnd"/>
      <w:r w:rsidRPr="001E6B16">
        <w:rPr>
          <w:rFonts w:ascii="Times New Roman" w:eastAsia="Times New Roman" w:hAnsi="Times New Roman" w:cs="Times New Roman"/>
          <w:sz w:val="24"/>
          <w:szCs w:val="24"/>
          <w:lang w:eastAsia="bg-BG"/>
        </w:rPr>
        <w:t xml:space="preserve"> се лица ), когато вноската се прави след 31.12.2018 г.</w:t>
      </w:r>
    </w:p>
    <w:p w:rsidR="001E6B16" w:rsidRPr="001E6B16" w:rsidRDefault="001E6B16" w:rsidP="001E6B16">
      <w:p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b/>
          <w:bCs/>
          <w:sz w:val="24"/>
          <w:szCs w:val="24"/>
          <w:lang w:eastAsia="bg-BG"/>
        </w:rPr>
        <w:t>4. Минимален размер на пенсията за осигурителен стаж и възраст при пълен осигурителен стаж</w:t>
      </w:r>
      <w:r w:rsidRPr="001E6B16">
        <w:rPr>
          <w:rFonts w:ascii="Times New Roman" w:eastAsia="Times New Roman" w:hAnsi="Times New Roman" w:cs="Times New Roman"/>
          <w:sz w:val="24"/>
          <w:szCs w:val="24"/>
          <w:lang w:eastAsia="bg-BG"/>
        </w:rPr>
        <w:t xml:space="preserve"> (чл. 68, ал. 1 от Кодекса за социално осигуряване):</w:t>
      </w:r>
    </w:p>
    <w:p w:rsidR="001E6B16" w:rsidRPr="001E6B16" w:rsidRDefault="001E6B16" w:rsidP="001E6B16">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sz w:val="24"/>
          <w:szCs w:val="24"/>
          <w:lang w:eastAsia="bg-BG"/>
        </w:rPr>
        <w:t>от 1 януари до 30 юни 2019 г. -</w:t>
      </w:r>
      <w:r w:rsidRPr="001E6B16">
        <w:rPr>
          <w:rFonts w:ascii="Times New Roman" w:eastAsia="Times New Roman" w:hAnsi="Times New Roman" w:cs="Times New Roman"/>
          <w:b/>
          <w:bCs/>
          <w:sz w:val="24"/>
          <w:szCs w:val="24"/>
          <w:lang w:eastAsia="bg-BG"/>
        </w:rPr>
        <w:t xml:space="preserve"> 207,60 лв.;</w:t>
      </w:r>
    </w:p>
    <w:p w:rsidR="001E6B16" w:rsidRPr="001E6B16" w:rsidRDefault="001E6B16" w:rsidP="001E6B16">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sz w:val="24"/>
          <w:szCs w:val="24"/>
          <w:lang w:eastAsia="bg-BG"/>
        </w:rPr>
        <w:t xml:space="preserve">от 1 юли до 31 декември 2019 г. - </w:t>
      </w:r>
      <w:r w:rsidRPr="001E6B16">
        <w:rPr>
          <w:rFonts w:ascii="Times New Roman" w:eastAsia="Times New Roman" w:hAnsi="Times New Roman" w:cs="Times New Roman"/>
          <w:b/>
          <w:bCs/>
          <w:sz w:val="24"/>
          <w:szCs w:val="24"/>
          <w:lang w:eastAsia="bg-BG"/>
        </w:rPr>
        <w:t>219,43 лв.</w:t>
      </w:r>
      <w:r w:rsidRPr="001E6B16">
        <w:rPr>
          <w:rFonts w:ascii="Times New Roman" w:eastAsia="Times New Roman" w:hAnsi="Times New Roman" w:cs="Times New Roman"/>
          <w:sz w:val="24"/>
          <w:szCs w:val="24"/>
          <w:lang w:eastAsia="bg-BG"/>
        </w:rPr>
        <w:t xml:space="preserve"> (увеличение с 5,7 на сто).</w:t>
      </w:r>
    </w:p>
    <w:p w:rsidR="001E6B16" w:rsidRPr="001E6B16" w:rsidRDefault="001E6B16" w:rsidP="001E6B16">
      <w:p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b/>
          <w:bCs/>
          <w:sz w:val="24"/>
          <w:szCs w:val="24"/>
          <w:lang w:eastAsia="bg-BG"/>
        </w:rPr>
        <w:t>5. Максимален размер на получаваните една или повече пенсии, без добавките към тях:</w:t>
      </w:r>
    </w:p>
    <w:p w:rsidR="001E6B16" w:rsidRPr="001E6B16" w:rsidRDefault="001E6B16" w:rsidP="001E6B16">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sz w:val="24"/>
          <w:szCs w:val="24"/>
          <w:lang w:eastAsia="bg-BG"/>
        </w:rPr>
        <w:t>от 1 януари 2019 г. до 30 юни 2019 г. - запазва се на 910 лв.,</w:t>
      </w:r>
    </w:p>
    <w:p w:rsidR="001E6B16" w:rsidRPr="001E6B16" w:rsidRDefault="001E6B16" w:rsidP="001E6B16">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sz w:val="24"/>
          <w:szCs w:val="24"/>
          <w:lang w:eastAsia="bg-BG"/>
        </w:rPr>
        <w:t>от 1 юли 2019 г. - 1200 лв., определени като 40 на сто от максималния месечен размер на осигурителния доход, определен със ЗБДОО за 2019 година.</w:t>
      </w:r>
    </w:p>
    <w:p w:rsidR="001E6B16" w:rsidRPr="001E6B16" w:rsidRDefault="001E6B16" w:rsidP="001E6B16">
      <w:pPr>
        <w:spacing w:before="100" w:beforeAutospacing="1" w:after="100" w:afterAutospacing="1" w:line="240" w:lineRule="auto"/>
        <w:jc w:val="both"/>
        <w:rPr>
          <w:rFonts w:ascii="Times New Roman" w:eastAsia="Times New Roman" w:hAnsi="Times New Roman" w:cs="Times New Roman"/>
          <w:sz w:val="24"/>
          <w:szCs w:val="24"/>
          <w:lang w:eastAsia="bg-BG"/>
        </w:rPr>
      </w:pPr>
      <w:r w:rsidRPr="001E6B16">
        <w:rPr>
          <w:rFonts w:ascii="Times New Roman" w:eastAsia="Times New Roman" w:hAnsi="Times New Roman" w:cs="Times New Roman"/>
          <w:b/>
          <w:bCs/>
          <w:sz w:val="24"/>
          <w:szCs w:val="24"/>
          <w:lang w:eastAsia="bg-BG"/>
        </w:rPr>
        <w:t>6. Увеличение на размера на пенсиите за трудова дейност, отпуснати с начална дата до 31.12.2018 г., считано от 01.07.2019 г.</w:t>
      </w:r>
      <w:r w:rsidRPr="001E6B16">
        <w:rPr>
          <w:rFonts w:ascii="Times New Roman" w:eastAsia="Times New Roman" w:hAnsi="Times New Roman" w:cs="Times New Roman"/>
          <w:sz w:val="24"/>
          <w:szCs w:val="24"/>
          <w:lang w:eastAsia="bg-BG"/>
        </w:rPr>
        <w:t xml:space="preserve"> – с 5,7 на сто.</w:t>
      </w:r>
    </w:p>
    <w:p w:rsidR="001E6B16" w:rsidRDefault="001E6B16" w:rsidP="001E6B16">
      <w:pPr>
        <w:pStyle w:val="a3"/>
        <w:jc w:val="both"/>
      </w:pPr>
      <w:r>
        <w:t>Едновременно с това пенсиите, отпуснати с начална дата до 31.12.2018 г., се преизчисляват от 1 юли 2019 г. с процент 1,2 за всяка година осигурителен стаж и съответната пропорционална част от този процент за месеците осигурителен стаж.</w:t>
      </w:r>
    </w:p>
    <w:p w:rsidR="001E6B16" w:rsidRDefault="001E6B16" w:rsidP="001E6B16">
      <w:pPr>
        <w:pStyle w:val="a3"/>
        <w:jc w:val="both"/>
      </w:pPr>
      <w:r>
        <w:lastRenderedPageBreak/>
        <w:t>Когато преизчисленият размер на пенсията с по-високата тежест за осигурителния стаж и увеличеният с 5,7 на сто размер на пенсията не са равни, пенсията се определя в по-високия размер. По този начин се гарантира по-благоприятното за лицата увеличение на пенсията, като същото не може да бъде по-малко от 5,7 на сто.</w:t>
      </w:r>
    </w:p>
    <w:p w:rsidR="001E6B16" w:rsidRDefault="001E6B16" w:rsidP="001E6B16">
      <w:pPr>
        <w:pStyle w:val="a3"/>
        <w:jc w:val="both"/>
      </w:pPr>
      <w:r>
        <w:rPr>
          <w:rStyle w:val="a4"/>
          <w:i/>
          <w:iCs/>
        </w:rPr>
        <w:t>II. Промени в Кодекса за социално осигуряване (КСО), свързани с правото и размера на пенсията</w:t>
      </w:r>
    </w:p>
    <w:p w:rsidR="001E6B16" w:rsidRDefault="001E6B16" w:rsidP="001E6B16">
      <w:pPr>
        <w:pStyle w:val="a3"/>
        <w:jc w:val="both"/>
      </w:pPr>
      <w:r>
        <w:rPr>
          <w:rStyle w:val="a4"/>
        </w:rPr>
        <w:t>1. Нараства тежестта за една година осигурителен стаж в пенсионната формула от 1,169 на 1,2 на сто.</w:t>
      </w:r>
      <w:r>
        <w:t xml:space="preserve"> Размерът на пенсиите за осигурителен стаж и възраст и другите пенсии от трудова дейност, отпуснати с начална дата след 31.12.2018 г., ще се определя с новата тежест от 1,2 на сто за всяка година осигурителен стаж и със съответна пропорционална част от този процент за месеците осигурителен стаж.</w:t>
      </w:r>
    </w:p>
    <w:p w:rsidR="001E6B16" w:rsidRDefault="001E6B16" w:rsidP="001E6B16">
      <w:pPr>
        <w:pStyle w:val="a3"/>
        <w:jc w:val="both"/>
      </w:pPr>
      <w:r>
        <w:t>Не се предвижда по-нататъшно нарастване на тежестта на осигурителния стаж след 2019 г.</w:t>
      </w:r>
    </w:p>
    <w:p w:rsidR="001E6B16" w:rsidRDefault="001E6B16" w:rsidP="001E6B16">
      <w:pPr>
        <w:pStyle w:val="a3"/>
        <w:jc w:val="both"/>
      </w:pPr>
      <w:r>
        <w:t>Тъй като пенсиите за трудова дейност, отпуснати с начална дата до 01.01.2019 г., ще бъдат преизчислени от 1 юли 2019 г. с новата тежест на една година осигурителен стаж от 1,2 на сто и съответната пропорционална част от този процент за месеците осигурителен стаж, всички пенсии за осигурителен стаж и възраст, както и за инвалидност поради общо заболяване, определени по реда на чл. 75 от КСО, ще бъдат определени с еднаква тежест на осигурителния стаж.</w:t>
      </w:r>
    </w:p>
    <w:p w:rsidR="001E6B16" w:rsidRDefault="001E6B16" w:rsidP="001E6B16">
      <w:pPr>
        <w:pStyle w:val="a3"/>
        <w:jc w:val="both"/>
      </w:pPr>
      <w:r>
        <w:t xml:space="preserve">2. При изчисляването на индивидуален коефициент на пенсии за трудова дейност, отпуснати </w:t>
      </w:r>
      <w:r>
        <w:rPr>
          <w:rStyle w:val="a4"/>
        </w:rPr>
        <w:t>с начална дата след 31.12.2018 г. ще участва осигурителния доход на лицата за периодите след 31.12.1999 г. до датата на отпускане на пенсията, но за не по-малък период от 36 пълни месеца</w:t>
      </w:r>
      <w:r>
        <w:t>. Това означава, че няма да се взема предвид осигурителния доход до 01.01.2000 г., с изключение на случаите, когато конкретно лице има по-малко от 36 месеца осигурителен доход след тази дата. В случаите, когато осигурителният доход на лицето след 31.12.1999 г. е за период по-малък от 36 месеца, за недостигащия период се взема предвид последния осигурителен доход на лицето преди 01.01.2000 г. Ако доходът общо за целия осигурителен стаж е за период по-малък от 36 месеца, индивидуалният коефициент се изчислява от наличния осигурителен доход.</w:t>
      </w:r>
    </w:p>
    <w:p w:rsidR="001E6B16" w:rsidRDefault="001E6B16" w:rsidP="001E6B16">
      <w:pPr>
        <w:pStyle w:val="a3"/>
        <w:jc w:val="both"/>
      </w:pPr>
      <w:r>
        <w:t>Индивидуалният коефициент на пенсиите за трудова дейност, отпуснати</w:t>
      </w:r>
      <w:r>
        <w:rPr>
          <w:rStyle w:val="a4"/>
        </w:rPr>
        <w:t xml:space="preserve"> с начална дата след 31.12.2018 г., ще се изчислява на базата на месечни съотношения</w:t>
      </w:r>
      <w:r>
        <w:t xml:space="preserve"> между личния осигурителен доход на осигуреното лице и средния осигурителен доход за страната за същия месец, въз основа на отработените от лицето дни в конкретния месец. С оглед на това, когато данните в информационната система/регистрите на НОИ са непълни или са подавани некоректно, при служебната проверка ще се изисква от осигурителите да издават удостоверения/документи за осигурителен доход по месеци, както за периодите след 31.12.1999 г., така и за периодите преди тази дата – предвид допълването на периоди с осигурителен доход до 36 месеца.</w:t>
      </w:r>
    </w:p>
    <w:p w:rsidR="001E6B16" w:rsidRDefault="001E6B16" w:rsidP="001E6B16">
      <w:pPr>
        <w:pStyle w:val="a3"/>
        <w:jc w:val="both"/>
      </w:pPr>
      <w:r>
        <w:t xml:space="preserve">За пенсиите, отпускани </w:t>
      </w:r>
      <w:r>
        <w:rPr>
          <w:rStyle w:val="a4"/>
        </w:rPr>
        <w:t>с начална дата преди 01.01.2019 г.</w:t>
      </w:r>
      <w:r>
        <w:t xml:space="preserve">, индивидуалният коефициент на осигурените лица се определя по утвърдената методика за изчисляване на индивидуален коефициент, съобразно действалата до тази дата нормативна уредба. Тези коефициенти не подлежат на преизчисляване по методиката за изчисляване на </w:t>
      </w:r>
      <w:r>
        <w:lastRenderedPageBreak/>
        <w:t>индивидуален коефициент, която влиза в сила от 01.01.2019 г. и отразява посочените промени. В случаите на изменение, преизчисляване, възобновяване или възстановяване на пенсиите, индивидуалният коефициент се изчислява съгласно нормативните разпоредби, по които е определен.</w:t>
      </w:r>
    </w:p>
    <w:p w:rsidR="001E6B16" w:rsidRDefault="001E6B16" w:rsidP="001E6B16">
      <w:pPr>
        <w:pStyle w:val="a3"/>
        <w:jc w:val="both"/>
      </w:pPr>
      <w:r>
        <w:t>3. При изчисляването на размера на пенсиите за трудова злополука или професионална болест, на основание чл. 79 от КСО, коефициентите, които се вземат предвид са увеличени с 5,7 на сто, спрямо размерите им през 2018 г.</w:t>
      </w:r>
    </w:p>
    <w:p w:rsidR="001E6B16" w:rsidRDefault="001E6B16" w:rsidP="001E6B16">
      <w:pPr>
        <w:pStyle w:val="a3"/>
        <w:jc w:val="both"/>
      </w:pPr>
      <w:r>
        <w:t xml:space="preserve">4. За лицата, на които се преценява правото на пенсия за осигурителен стаж и възраст по общия ред на чл. 68, ал. 1 и 2 от КСО в случаите, свързани с прилагането на международен договор, по който Република България е страна, или на европейските регламенти за координация на системите за социална сигурност, е предвидена нова възможност (нова ал. 4 в чл. 68 от КСО). Когато само със зачетения по българското законодателство осигурителен стаж лицето не придобива право на пенсия, но има не по малко от 15 години действителен осигурителен стаж, и </w:t>
      </w:r>
      <w:r>
        <w:rPr>
          <w:rStyle w:val="a4"/>
        </w:rPr>
        <w:t>в случай че до удостоверяване на чуждия осигурителен стаж, лицето навърши възрастта по чл. 68, ал. 3 от КСО, му се отпуска пенсия в размер на социалната пенсия за старост</w:t>
      </w:r>
      <w:r>
        <w:t xml:space="preserve">, при условие че лицето не получава друг вид пенсия. Пенсията се отпуска от датата на навършване на посочената възраст, но не по-рано от датата на подаване на заявлението за пенсиониране. Тя се прекратява при отпускане на пенсия за осигурителен стаж и възраст на друго основание по КСО, а получените от лицата суми за пенсии на това основание се прихващат от </w:t>
      </w:r>
      <w:proofErr w:type="spellStart"/>
      <w:r>
        <w:t>новоотпуснатата</w:t>
      </w:r>
      <w:proofErr w:type="spellEnd"/>
      <w:r>
        <w:t xml:space="preserve"> пенсия.</w:t>
      </w:r>
    </w:p>
    <w:p w:rsidR="001E6B16" w:rsidRDefault="001E6B16" w:rsidP="001E6B16">
      <w:pPr>
        <w:pStyle w:val="a3"/>
        <w:jc w:val="both"/>
      </w:pPr>
      <w:r>
        <w:t>5.</w:t>
      </w:r>
      <w:r>
        <w:rPr>
          <w:rStyle w:val="a4"/>
        </w:rPr>
        <w:t xml:space="preserve"> Определянето на началната дата, от която се отпускат пенсиите за инвалидност и/или добавките за чужда помощ</w:t>
      </w:r>
      <w:r>
        <w:t xml:space="preserve">, на лицата, които не са подали заявление за отпускане на пенсия в двумесечния срок от датата на </w:t>
      </w:r>
      <w:proofErr w:type="spellStart"/>
      <w:r>
        <w:t>инвалидизирането</w:t>
      </w:r>
      <w:proofErr w:type="spellEnd"/>
      <w:r>
        <w:t xml:space="preserve"> (чл. 94, ал. 1 от КСО), се извършва от датата на подаване от лицето на заявление-декларация до териториалната експертна лекарска комисия (ТЕЛК), но не по-рано от датата на </w:t>
      </w:r>
      <w:proofErr w:type="spellStart"/>
      <w:r>
        <w:t>инвалидизиране</w:t>
      </w:r>
      <w:proofErr w:type="spellEnd"/>
      <w:r>
        <w:t xml:space="preserve">, съответно – от датата на определяне на потребността от чужда помощ, ако необходимите документи за пенсиониране са подадени в териториалното поделение на НОИ в едномесечен срок от изтичане на срока за обжалване на експертното решение на ТЕЛК или на Националната експертна лекарска комисия (НЕЛК) по отношение на </w:t>
      </w:r>
      <w:proofErr w:type="spellStart"/>
      <w:r>
        <w:t>правоимащото</w:t>
      </w:r>
      <w:proofErr w:type="spellEnd"/>
      <w:r>
        <w:t xml:space="preserve"> лице. Когато е пропуснат и този едномесечен срок, пенсиите за инвалидност и/или добавките за чужда помощ се отпускат от датата на заявлението в териториалното поделение на НОИ.</w:t>
      </w:r>
    </w:p>
    <w:p w:rsidR="001E6B16" w:rsidRDefault="001E6B16" w:rsidP="001E6B16">
      <w:pPr>
        <w:pStyle w:val="a3"/>
        <w:jc w:val="both"/>
      </w:pPr>
      <w:r>
        <w:t xml:space="preserve">6. </w:t>
      </w:r>
      <w:r>
        <w:rPr>
          <w:rStyle w:val="a4"/>
        </w:rPr>
        <w:t>Създава се възможност за служебно преизчисляване веднъж годишно на пенсиите за трудова дейност с допълнително придобития след пенсионирането осигурителен стаж и/или осигурителен доход</w:t>
      </w:r>
      <w:r>
        <w:t xml:space="preserve"> (нова ал. 3 в чл. 102 КСО).</w:t>
      </w:r>
    </w:p>
    <w:p w:rsidR="001E6B16" w:rsidRDefault="001E6B16" w:rsidP="001E6B16">
      <w:pPr>
        <w:pStyle w:val="a3"/>
        <w:jc w:val="both"/>
      </w:pPr>
      <w:r>
        <w:t>На служебно преизчисляване подлежат само пенсиите на лицата, подали изрично писмено заявление за това, по образец, утвърден от управителя на Националния осигурителен институт. Преизчисляването се извършва от първо число на месеца, следващ месеца на подаване на заявлението, като всяка година за конкретния пенсионер това преизчисляване се прави от първо число на един и същ месец.</w:t>
      </w:r>
    </w:p>
    <w:p w:rsidR="001E6B16" w:rsidRDefault="001E6B16" w:rsidP="001E6B16">
      <w:pPr>
        <w:pStyle w:val="a3"/>
        <w:jc w:val="both"/>
      </w:pPr>
      <w:r>
        <w:t>Служебно преизчисляване може да се заяви както за пенсии, отпуснати с начална дата след 31.12.2018 г., така и когато са отпуснати преди тази дата.</w:t>
      </w:r>
    </w:p>
    <w:p w:rsidR="001E6B16" w:rsidRDefault="001E6B16" w:rsidP="001E6B16">
      <w:pPr>
        <w:pStyle w:val="a3"/>
        <w:jc w:val="both"/>
      </w:pPr>
      <w:r>
        <w:lastRenderedPageBreak/>
        <w:t xml:space="preserve">Преизчисляването се извършва въз основа на наличните данни за пенсионерите в информационната система/регистрите на НОИ, а за </w:t>
      </w:r>
      <w:proofErr w:type="spellStart"/>
      <w:r>
        <w:t>самоосигуряващите</w:t>
      </w:r>
      <w:proofErr w:type="spellEnd"/>
      <w:r>
        <w:t xml:space="preserve"> се лица - въз основа на внесените осигурителни вноски за периодите след пенсионирането, съответно - след последното преизчисляване на пенсията.</w:t>
      </w:r>
    </w:p>
    <w:p w:rsidR="001E6B16" w:rsidRDefault="001E6B16" w:rsidP="001E6B16">
      <w:pPr>
        <w:pStyle w:val="a3"/>
        <w:jc w:val="both"/>
      </w:pPr>
      <w:r>
        <w:t>Служебното преизчисляване се извършва за придобит осигурителен стаж след пенсионирането или за придобит осигурителен стаж и осигурителен доход след пенсионирането, като преценката кой вариант е по-благоприятен за лицата се прави служебно.</w:t>
      </w:r>
    </w:p>
    <w:p w:rsidR="001E6B16" w:rsidRDefault="001E6B16" w:rsidP="001E6B16">
      <w:pPr>
        <w:pStyle w:val="a3"/>
        <w:jc w:val="both"/>
      </w:pPr>
      <w:r>
        <w:rPr>
          <w:rStyle w:val="a4"/>
          <w:i/>
          <w:iCs/>
        </w:rPr>
        <w:t>III. Изменения и допълнения при пенсиите несвързани с трудова дейност</w:t>
      </w:r>
    </w:p>
    <w:p w:rsidR="001E6B16" w:rsidRDefault="001E6B16" w:rsidP="001E6B16">
      <w:pPr>
        <w:pStyle w:val="a3"/>
        <w:jc w:val="both"/>
      </w:pPr>
      <w:r>
        <w:t xml:space="preserve">1. За социалните пенсии за старост, регламентирани в чл. 89а от КСО и социалните пенсии за инвалидност, следващи се на основание чл. 90а от КСО, изрично е предвидено, че не се отпускат на лица, на които е отпусната друг вид пенсия, включително и от друга държава. До сега тези пенсии се отпускаха на </w:t>
      </w:r>
      <w:proofErr w:type="spellStart"/>
      <w:r>
        <w:t>правоимащите</w:t>
      </w:r>
      <w:proofErr w:type="spellEnd"/>
      <w:r>
        <w:t xml:space="preserve"> лица, но поради забраната за едновременното им получаване с друг вид пенсия, в тези случаи те се спираха едновременно с отпускането им.</w:t>
      </w:r>
    </w:p>
    <w:p w:rsidR="001E6B16" w:rsidRDefault="001E6B16" w:rsidP="001E6B16">
      <w:pPr>
        <w:pStyle w:val="a3"/>
        <w:jc w:val="both"/>
      </w:pPr>
      <w:r>
        <w:t>2. Във връзка с новия Закон за хората с увреждания (</w:t>
      </w:r>
      <w:proofErr w:type="spellStart"/>
      <w:r>
        <w:t>обн</w:t>
      </w:r>
      <w:proofErr w:type="spellEnd"/>
      <w:r>
        <w:t>. ДВ, бр. 105 от 18.12.2018 г.) социалните пенсии за инвалидност, отпуснати с начална дата до 31.12.2014 г., изплащани към друг вид пенсия от НОИ в размер на 25 на сто от следващия им се размер, се прекратяват служебно, считано от 01.01.2019 г. На същите лица започва да се изплаща сума под формата на месечна финансова подкрепа от Агенцията за социално подпомагане при условията, предвидени в Закона за хората с увреждания.</w:t>
      </w:r>
    </w:p>
    <w:p w:rsidR="001E6B16" w:rsidRDefault="001E6B16" w:rsidP="001E6B16">
      <w:pPr>
        <w:pStyle w:val="a3"/>
        <w:jc w:val="both"/>
      </w:pPr>
      <w:r>
        <w:t>3. Съгласно изменения и допълнения в Закона за семейните помощи за деца (ЗСПД) (</w:t>
      </w:r>
      <w:proofErr w:type="spellStart"/>
      <w:r>
        <w:t>обн</w:t>
      </w:r>
      <w:proofErr w:type="spellEnd"/>
      <w:r>
        <w:t>., ДВ, бр. 88 от 23.10.2018 г.) и свързаните с тях промени в Наредбата за пенсиите и осигурителния стаж (</w:t>
      </w:r>
      <w:proofErr w:type="spellStart"/>
      <w:r>
        <w:t>обн</w:t>
      </w:r>
      <w:proofErr w:type="spellEnd"/>
      <w:r>
        <w:t>., ДВ, бр. 107 от 28.12.2018 г.), считано от 01.01.2019 г. децата без право на наследствена пенсия от починал родител нямат право на персонални пенсии по чл. 92 от Кодекса за социално осигуряване, а Министерският съвет на Република България съответно няма правомощие да отпуска персонални пенсии на тази категория лица.</w:t>
      </w:r>
    </w:p>
    <w:p w:rsidR="001E6B16" w:rsidRDefault="001E6B16" w:rsidP="001E6B16">
      <w:pPr>
        <w:pStyle w:val="a3"/>
        <w:jc w:val="both"/>
      </w:pPr>
      <w:r>
        <w:t>За децата без право на наследствена пенсия от починал родител е предвидено Агенцията за социално подпомагане да отпуска и изплаща нов вид месечна помощ, регламентирана в чл. 8е от ЗСПД, като същата не може да се получава заедно с персонална пенсия на дете по чл. 92 от КСО.</w:t>
      </w:r>
    </w:p>
    <w:p w:rsidR="001E6B16" w:rsidRDefault="001E6B16" w:rsidP="001E6B16">
      <w:pPr>
        <w:pStyle w:val="a3"/>
        <w:jc w:val="both"/>
      </w:pPr>
      <w:r>
        <w:t xml:space="preserve">Отпуснатите до 31.12.2018 г. персонални пенсии на деца без право на наследствена пенсия от починал родител продължават да се изплащат от Националния осигурителен институт в размерите им, определени към тази дата, по досегашния ред и до изтичане на </w:t>
      </w:r>
      <w:proofErr w:type="spellStart"/>
      <w:r>
        <w:t>законоустановените</w:t>
      </w:r>
      <w:proofErr w:type="spellEnd"/>
      <w:r>
        <w:t xml:space="preserve"> срокове или до отпускане на помощ по чл. 8е от ЗСПД.</w:t>
      </w:r>
    </w:p>
    <w:p w:rsidR="001E6B16" w:rsidRDefault="001E6B16" w:rsidP="001E6B16">
      <w:pPr>
        <w:pStyle w:val="a3"/>
        <w:jc w:val="both"/>
      </w:pPr>
      <w:r>
        <w:t xml:space="preserve">Министерският съвет на Република България ще продължи да отпуска персонални пенсии по досега установения ред на следните категории </w:t>
      </w:r>
      <w:proofErr w:type="spellStart"/>
      <w:r>
        <w:t>правоимащи</w:t>
      </w:r>
      <w:proofErr w:type="spellEnd"/>
      <w:r>
        <w:t xml:space="preserve"> лица:</w:t>
      </w:r>
    </w:p>
    <w:p w:rsidR="001E6B16" w:rsidRDefault="001E6B16" w:rsidP="001E6B16">
      <w:pPr>
        <w:numPr>
          <w:ilvl w:val="0"/>
          <w:numId w:val="5"/>
        </w:numPr>
        <w:spacing w:before="100" w:beforeAutospacing="1" w:after="100" w:afterAutospacing="1" w:line="240" w:lineRule="auto"/>
        <w:jc w:val="both"/>
      </w:pPr>
      <w:r>
        <w:t>жени, навършили възрастта по чл. 68, ал. 3 от КСО, родили и отгледали 5 и повече лица до навършване на 18- годишната им възраст;</w:t>
      </w:r>
    </w:p>
    <w:p w:rsidR="001E6B16" w:rsidRDefault="001E6B16" w:rsidP="001E6B16">
      <w:pPr>
        <w:numPr>
          <w:ilvl w:val="0"/>
          <w:numId w:val="5"/>
        </w:numPr>
        <w:spacing w:before="100" w:beforeAutospacing="1" w:after="100" w:afterAutospacing="1" w:line="240" w:lineRule="auto"/>
        <w:jc w:val="both"/>
      </w:pPr>
      <w:r>
        <w:lastRenderedPageBreak/>
        <w:t>лица, навършили възрастта по чл. 68, ал. 3 от КСО, които са полагали грижи в продължение на повече от 10 години за инвалиди – членове на техните семейства, постоянно нуждаещи се от чужда помощ (за членове на семейството се считат съпругът, съпругата и техните възходящи и низходящи по права линия).</w:t>
      </w:r>
    </w:p>
    <w:p w:rsidR="001E6B16" w:rsidRDefault="001E6B16" w:rsidP="001E6B16">
      <w:pPr>
        <w:pStyle w:val="z-"/>
      </w:pPr>
      <w:r>
        <w:t>Начало на формуляра</w:t>
      </w:r>
    </w:p>
    <w:p w:rsidR="001E6B16" w:rsidRDefault="001E6B16" w:rsidP="001E6B16">
      <w:pPr>
        <w:spacing w:after="0"/>
      </w:pP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87pt;height:18pt" o:ole="">
            <v:imagedata r:id="rId5" o:title=""/>
          </v:shape>
          <w:control r:id="rId6" w:name="DefaultOcxName" w:shapeid="_x0000_i1059"/>
        </w:object>
      </w:r>
      <w:r>
        <w:object w:dxaOrig="1440" w:dyaOrig="1440">
          <v:shape id="_x0000_i1053" type="#_x0000_t75" style="width:17.25pt;height:17.25pt" o:ole="">
            <v:imagedata r:id="rId7" o:title=""/>
          </v:shape>
          <w:control r:id="rId8" w:name="DefaultOcxName1" w:shapeid="_x0000_i1053"/>
        </w:object>
      </w:r>
    </w:p>
    <w:p w:rsidR="001E6B16" w:rsidRDefault="001E6B16" w:rsidP="001E6B16">
      <w:pPr>
        <w:pStyle w:val="z-1"/>
      </w:pPr>
      <w:r>
        <w:t>Край на формуляра</w:t>
      </w:r>
    </w:p>
    <w:p w:rsidR="001E6B16" w:rsidRDefault="001E6B16" w:rsidP="001E6B16"/>
    <w:p w:rsidR="001E6B16" w:rsidRDefault="001E6B16" w:rsidP="001E6B16"/>
    <w:p w:rsidR="001E6B16" w:rsidRDefault="001E6B16" w:rsidP="001E6B16"/>
    <w:p w:rsidR="001E6B16" w:rsidRDefault="001E6B16" w:rsidP="001E6B16"/>
    <w:p w:rsidR="001E6B16" w:rsidRDefault="001E6B16" w:rsidP="001E6B16"/>
    <w:p w:rsidR="001E6B16" w:rsidRDefault="001E6B16" w:rsidP="001E6B16"/>
    <w:p w:rsidR="001E6B16" w:rsidRDefault="001E6B16" w:rsidP="001E6B16"/>
    <w:p w:rsidR="001E6B16" w:rsidRDefault="001E6B16" w:rsidP="001E6B16"/>
    <w:p w:rsidR="001E6B16" w:rsidRDefault="001E6B16" w:rsidP="001E6B16"/>
    <w:p w:rsidR="001E6B16" w:rsidRDefault="001E6B16" w:rsidP="001E6B16"/>
    <w:p w:rsidR="001E6B16" w:rsidRDefault="001E6B16" w:rsidP="001E6B16"/>
    <w:p w:rsidR="00FC26F1" w:rsidRDefault="00FC26F1"/>
    <w:sectPr w:rsidR="00FC26F1"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66725"/>
    <w:multiLevelType w:val="multilevel"/>
    <w:tmpl w:val="6E204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E4439D"/>
    <w:multiLevelType w:val="multilevel"/>
    <w:tmpl w:val="3A5C3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CD6592D"/>
    <w:multiLevelType w:val="multilevel"/>
    <w:tmpl w:val="A5E2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89049E"/>
    <w:multiLevelType w:val="multilevel"/>
    <w:tmpl w:val="BE28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A77893"/>
    <w:multiLevelType w:val="multilevel"/>
    <w:tmpl w:val="5A68C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E6B16"/>
    <w:rsid w:val="000825CC"/>
    <w:rsid w:val="001E6B16"/>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paragraph" w:styleId="2">
    <w:name w:val="heading 2"/>
    <w:basedOn w:val="a"/>
    <w:link w:val="20"/>
    <w:uiPriority w:val="9"/>
    <w:qFormat/>
    <w:rsid w:val="001E6B16"/>
    <w:pPr>
      <w:spacing w:before="100" w:beforeAutospacing="1" w:after="100" w:afterAutospacing="1" w:line="240" w:lineRule="auto"/>
      <w:outlineLvl w:val="1"/>
    </w:pPr>
    <w:rPr>
      <w:rFonts w:ascii="Times New Roman" w:eastAsia="Times New Roman" w:hAnsi="Times New Roman" w:cs="Times New Roman"/>
      <w:b/>
      <w:bCs/>
      <w:sz w:val="36"/>
      <w:szCs w:val="36"/>
      <w:lang w:eastAsia="bg-BG"/>
    </w:rPr>
  </w:style>
  <w:style w:type="paragraph" w:styleId="3">
    <w:name w:val="heading 3"/>
    <w:basedOn w:val="a"/>
    <w:next w:val="a"/>
    <w:link w:val="30"/>
    <w:uiPriority w:val="9"/>
    <w:semiHidden/>
    <w:unhideWhenUsed/>
    <w:qFormat/>
    <w:rsid w:val="001E6B1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1E6B16"/>
    <w:rPr>
      <w:rFonts w:ascii="Times New Roman" w:eastAsia="Times New Roman" w:hAnsi="Times New Roman" w:cs="Times New Roman"/>
      <w:b/>
      <w:bCs/>
      <w:sz w:val="36"/>
      <w:szCs w:val="36"/>
      <w:lang w:eastAsia="bg-BG"/>
    </w:rPr>
  </w:style>
  <w:style w:type="paragraph" w:styleId="a3">
    <w:name w:val="Normal (Web)"/>
    <w:basedOn w:val="a"/>
    <w:uiPriority w:val="99"/>
    <w:semiHidden/>
    <w:unhideWhenUsed/>
    <w:rsid w:val="001E6B16"/>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4">
    <w:name w:val="Strong"/>
    <w:basedOn w:val="a0"/>
    <w:uiPriority w:val="22"/>
    <w:qFormat/>
    <w:rsid w:val="001E6B16"/>
    <w:rPr>
      <w:b/>
      <w:bCs/>
    </w:rPr>
  </w:style>
  <w:style w:type="character" w:customStyle="1" w:styleId="30">
    <w:name w:val="Заглавие 3 Знак"/>
    <w:basedOn w:val="a0"/>
    <w:link w:val="3"/>
    <w:uiPriority w:val="9"/>
    <w:semiHidden/>
    <w:rsid w:val="001E6B16"/>
    <w:rPr>
      <w:rFonts w:asciiTheme="majorHAnsi" w:eastAsiaTheme="majorEastAsia" w:hAnsiTheme="majorHAnsi" w:cstheme="majorBidi"/>
      <w:b/>
      <w:bCs/>
      <w:color w:val="4F81BD" w:themeColor="accent1"/>
    </w:rPr>
  </w:style>
  <w:style w:type="paragraph" w:styleId="z-">
    <w:name w:val="HTML Top of Form"/>
    <w:basedOn w:val="a"/>
    <w:next w:val="a"/>
    <w:link w:val="z-0"/>
    <w:hidden/>
    <w:uiPriority w:val="99"/>
    <w:semiHidden/>
    <w:unhideWhenUsed/>
    <w:rsid w:val="001E6B16"/>
    <w:pPr>
      <w:pBdr>
        <w:bottom w:val="single" w:sz="6" w:space="1" w:color="auto"/>
      </w:pBdr>
      <w:spacing w:after="0" w:line="240" w:lineRule="auto"/>
      <w:jc w:val="center"/>
    </w:pPr>
    <w:rPr>
      <w:rFonts w:ascii="Arial" w:eastAsia="Times New Roman" w:hAnsi="Arial" w:cs="Arial"/>
      <w:vanish/>
      <w:sz w:val="16"/>
      <w:szCs w:val="16"/>
      <w:lang w:eastAsia="bg-BG"/>
    </w:rPr>
  </w:style>
  <w:style w:type="character" w:customStyle="1" w:styleId="z-0">
    <w:name w:val="z-Начало формуляр Знак"/>
    <w:basedOn w:val="a0"/>
    <w:link w:val="z-"/>
    <w:uiPriority w:val="99"/>
    <w:semiHidden/>
    <w:rsid w:val="001E6B16"/>
    <w:rPr>
      <w:rFonts w:ascii="Arial" w:eastAsia="Times New Roman" w:hAnsi="Arial" w:cs="Arial"/>
      <w:vanish/>
      <w:sz w:val="16"/>
      <w:szCs w:val="16"/>
      <w:lang w:eastAsia="bg-BG"/>
    </w:rPr>
  </w:style>
  <w:style w:type="paragraph" w:styleId="z-1">
    <w:name w:val="HTML Bottom of Form"/>
    <w:basedOn w:val="a"/>
    <w:next w:val="a"/>
    <w:link w:val="z-2"/>
    <w:hidden/>
    <w:uiPriority w:val="99"/>
    <w:semiHidden/>
    <w:unhideWhenUsed/>
    <w:rsid w:val="001E6B16"/>
    <w:pPr>
      <w:pBdr>
        <w:top w:val="single" w:sz="6" w:space="1" w:color="auto"/>
      </w:pBdr>
      <w:spacing w:after="0" w:line="240" w:lineRule="auto"/>
      <w:jc w:val="center"/>
    </w:pPr>
    <w:rPr>
      <w:rFonts w:ascii="Arial" w:eastAsia="Times New Roman" w:hAnsi="Arial" w:cs="Arial"/>
      <w:vanish/>
      <w:sz w:val="16"/>
      <w:szCs w:val="16"/>
      <w:lang w:eastAsia="bg-BG"/>
    </w:rPr>
  </w:style>
  <w:style w:type="character" w:customStyle="1" w:styleId="z-2">
    <w:name w:val="z-Край формуляр Знак"/>
    <w:basedOn w:val="a0"/>
    <w:link w:val="z-1"/>
    <w:uiPriority w:val="99"/>
    <w:semiHidden/>
    <w:rsid w:val="001E6B16"/>
    <w:rPr>
      <w:rFonts w:ascii="Arial" w:eastAsia="Times New Roman" w:hAnsi="Arial" w:cs="Arial"/>
      <w:vanish/>
      <w:sz w:val="16"/>
      <w:szCs w:val="16"/>
      <w:lang w:eastAsia="bg-BG"/>
    </w:rPr>
  </w:style>
  <w:style w:type="paragraph" w:styleId="a5">
    <w:name w:val="Balloon Text"/>
    <w:basedOn w:val="a"/>
    <w:link w:val="a6"/>
    <w:uiPriority w:val="99"/>
    <w:semiHidden/>
    <w:unhideWhenUsed/>
    <w:rsid w:val="001E6B16"/>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1E6B1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67622">
      <w:bodyDiv w:val="1"/>
      <w:marLeft w:val="0"/>
      <w:marRight w:val="0"/>
      <w:marTop w:val="0"/>
      <w:marBottom w:val="0"/>
      <w:divBdr>
        <w:top w:val="none" w:sz="0" w:space="0" w:color="auto"/>
        <w:left w:val="none" w:sz="0" w:space="0" w:color="auto"/>
        <w:bottom w:val="none" w:sz="0" w:space="0" w:color="auto"/>
        <w:right w:val="none" w:sz="0" w:space="0" w:color="auto"/>
      </w:divBdr>
    </w:div>
    <w:div w:id="33310717">
      <w:bodyDiv w:val="1"/>
      <w:marLeft w:val="0"/>
      <w:marRight w:val="0"/>
      <w:marTop w:val="0"/>
      <w:marBottom w:val="0"/>
      <w:divBdr>
        <w:top w:val="none" w:sz="0" w:space="0" w:color="auto"/>
        <w:left w:val="none" w:sz="0" w:space="0" w:color="auto"/>
        <w:bottom w:val="none" w:sz="0" w:space="0" w:color="auto"/>
        <w:right w:val="none" w:sz="0" w:space="0" w:color="auto"/>
      </w:divBdr>
      <w:divsChild>
        <w:div w:id="1415668101">
          <w:marLeft w:val="0"/>
          <w:marRight w:val="0"/>
          <w:marTop w:val="0"/>
          <w:marBottom w:val="0"/>
          <w:divBdr>
            <w:top w:val="none" w:sz="0" w:space="0" w:color="auto"/>
            <w:left w:val="none" w:sz="0" w:space="0" w:color="auto"/>
            <w:bottom w:val="none" w:sz="0" w:space="0" w:color="auto"/>
            <w:right w:val="none" w:sz="0" w:space="0" w:color="auto"/>
          </w:divBdr>
          <w:divsChild>
            <w:div w:id="1512335673">
              <w:marLeft w:val="0"/>
              <w:marRight w:val="0"/>
              <w:marTop w:val="0"/>
              <w:marBottom w:val="0"/>
              <w:divBdr>
                <w:top w:val="none" w:sz="0" w:space="0" w:color="auto"/>
                <w:left w:val="none" w:sz="0" w:space="0" w:color="auto"/>
                <w:bottom w:val="none" w:sz="0" w:space="0" w:color="auto"/>
                <w:right w:val="none" w:sz="0" w:space="0" w:color="auto"/>
              </w:divBdr>
              <w:divsChild>
                <w:div w:id="1256327778">
                  <w:marLeft w:val="0"/>
                  <w:marRight w:val="0"/>
                  <w:marTop w:val="0"/>
                  <w:marBottom w:val="0"/>
                  <w:divBdr>
                    <w:top w:val="none" w:sz="0" w:space="0" w:color="auto"/>
                    <w:left w:val="none" w:sz="0" w:space="0" w:color="auto"/>
                    <w:bottom w:val="none" w:sz="0" w:space="0" w:color="auto"/>
                    <w:right w:val="none" w:sz="0" w:space="0" w:color="auto"/>
                  </w:divBdr>
                  <w:divsChild>
                    <w:div w:id="159658987">
                      <w:marLeft w:val="0"/>
                      <w:marRight w:val="0"/>
                      <w:marTop w:val="0"/>
                      <w:marBottom w:val="0"/>
                      <w:divBdr>
                        <w:top w:val="none" w:sz="0" w:space="0" w:color="auto"/>
                        <w:left w:val="none" w:sz="0" w:space="0" w:color="auto"/>
                        <w:bottom w:val="none" w:sz="0" w:space="0" w:color="auto"/>
                        <w:right w:val="none" w:sz="0" w:space="0" w:color="auto"/>
                      </w:divBdr>
                      <w:divsChild>
                        <w:div w:id="1117943603">
                          <w:marLeft w:val="0"/>
                          <w:marRight w:val="0"/>
                          <w:marTop w:val="0"/>
                          <w:marBottom w:val="0"/>
                          <w:divBdr>
                            <w:top w:val="none" w:sz="0" w:space="0" w:color="auto"/>
                            <w:left w:val="none" w:sz="0" w:space="0" w:color="auto"/>
                            <w:bottom w:val="none" w:sz="0" w:space="0" w:color="auto"/>
                            <w:right w:val="none" w:sz="0" w:space="0" w:color="auto"/>
                          </w:divBdr>
                          <w:divsChild>
                            <w:div w:id="1752434867">
                              <w:marLeft w:val="0"/>
                              <w:marRight w:val="0"/>
                              <w:marTop w:val="0"/>
                              <w:marBottom w:val="0"/>
                              <w:divBdr>
                                <w:top w:val="none" w:sz="0" w:space="0" w:color="auto"/>
                                <w:left w:val="none" w:sz="0" w:space="0" w:color="auto"/>
                                <w:bottom w:val="none" w:sz="0" w:space="0" w:color="auto"/>
                                <w:right w:val="none" w:sz="0" w:space="0" w:color="auto"/>
                              </w:divBdr>
                              <w:divsChild>
                                <w:div w:id="141532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205889">
          <w:marLeft w:val="0"/>
          <w:marRight w:val="0"/>
          <w:marTop w:val="0"/>
          <w:marBottom w:val="0"/>
          <w:divBdr>
            <w:top w:val="none" w:sz="0" w:space="0" w:color="auto"/>
            <w:left w:val="none" w:sz="0" w:space="0" w:color="auto"/>
            <w:bottom w:val="none" w:sz="0" w:space="0" w:color="auto"/>
            <w:right w:val="none" w:sz="0" w:space="0" w:color="auto"/>
          </w:divBdr>
          <w:divsChild>
            <w:div w:id="1634140821">
              <w:marLeft w:val="0"/>
              <w:marRight w:val="0"/>
              <w:marTop w:val="0"/>
              <w:marBottom w:val="0"/>
              <w:divBdr>
                <w:top w:val="none" w:sz="0" w:space="0" w:color="auto"/>
                <w:left w:val="none" w:sz="0" w:space="0" w:color="auto"/>
                <w:bottom w:val="none" w:sz="0" w:space="0" w:color="auto"/>
                <w:right w:val="none" w:sz="0" w:space="0" w:color="auto"/>
              </w:divBdr>
              <w:divsChild>
                <w:div w:id="1364939728">
                  <w:marLeft w:val="0"/>
                  <w:marRight w:val="0"/>
                  <w:marTop w:val="0"/>
                  <w:marBottom w:val="0"/>
                  <w:divBdr>
                    <w:top w:val="none" w:sz="0" w:space="0" w:color="auto"/>
                    <w:left w:val="none" w:sz="0" w:space="0" w:color="auto"/>
                    <w:bottom w:val="none" w:sz="0" w:space="0" w:color="auto"/>
                    <w:right w:val="none" w:sz="0" w:space="0" w:color="auto"/>
                  </w:divBdr>
                </w:div>
              </w:divsChild>
            </w:div>
            <w:div w:id="1716541233">
              <w:marLeft w:val="0"/>
              <w:marRight w:val="0"/>
              <w:marTop w:val="0"/>
              <w:marBottom w:val="0"/>
              <w:divBdr>
                <w:top w:val="none" w:sz="0" w:space="0" w:color="auto"/>
                <w:left w:val="none" w:sz="0" w:space="0" w:color="auto"/>
                <w:bottom w:val="none" w:sz="0" w:space="0" w:color="auto"/>
                <w:right w:val="none" w:sz="0" w:space="0" w:color="auto"/>
              </w:divBdr>
              <w:divsChild>
                <w:div w:id="531455929">
                  <w:marLeft w:val="0"/>
                  <w:marRight w:val="0"/>
                  <w:marTop w:val="0"/>
                  <w:marBottom w:val="0"/>
                  <w:divBdr>
                    <w:top w:val="none" w:sz="0" w:space="0" w:color="auto"/>
                    <w:left w:val="none" w:sz="0" w:space="0" w:color="auto"/>
                    <w:bottom w:val="none" w:sz="0" w:space="0" w:color="auto"/>
                    <w:right w:val="none" w:sz="0" w:space="0" w:color="auto"/>
                  </w:divBdr>
                  <w:divsChild>
                    <w:div w:id="23377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304911">
              <w:marLeft w:val="0"/>
              <w:marRight w:val="0"/>
              <w:marTop w:val="0"/>
              <w:marBottom w:val="0"/>
              <w:divBdr>
                <w:top w:val="none" w:sz="0" w:space="0" w:color="auto"/>
                <w:left w:val="none" w:sz="0" w:space="0" w:color="auto"/>
                <w:bottom w:val="none" w:sz="0" w:space="0" w:color="auto"/>
                <w:right w:val="none" w:sz="0" w:space="0" w:color="auto"/>
              </w:divBdr>
              <w:divsChild>
                <w:div w:id="278729108">
                  <w:marLeft w:val="0"/>
                  <w:marRight w:val="0"/>
                  <w:marTop w:val="0"/>
                  <w:marBottom w:val="0"/>
                  <w:divBdr>
                    <w:top w:val="none" w:sz="0" w:space="0" w:color="auto"/>
                    <w:left w:val="none" w:sz="0" w:space="0" w:color="auto"/>
                    <w:bottom w:val="none" w:sz="0" w:space="0" w:color="auto"/>
                    <w:right w:val="none" w:sz="0" w:space="0" w:color="auto"/>
                  </w:divBdr>
                  <w:divsChild>
                    <w:div w:id="34104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056117">
              <w:marLeft w:val="0"/>
              <w:marRight w:val="0"/>
              <w:marTop w:val="0"/>
              <w:marBottom w:val="0"/>
              <w:divBdr>
                <w:top w:val="none" w:sz="0" w:space="0" w:color="auto"/>
                <w:left w:val="none" w:sz="0" w:space="0" w:color="auto"/>
                <w:bottom w:val="none" w:sz="0" w:space="0" w:color="auto"/>
                <w:right w:val="none" w:sz="0" w:space="0" w:color="auto"/>
              </w:divBdr>
              <w:divsChild>
                <w:div w:id="1138837356">
                  <w:marLeft w:val="0"/>
                  <w:marRight w:val="0"/>
                  <w:marTop w:val="0"/>
                  <w:marBottom w:val="0"/>
                  <w:divBdr>
                    <w:top w:val="none" w:sz="0" w:space="0" w:color="auto"/>
                    <w:left w:val="none" w:sz="0" w:space="0" w:color="auto"/>
                    <w:bottom w:val="none" w:sz="0" w:space="0" w:color="auto"/>
                    <w:right w:val="none" w:sz="0" w:space="0" w:color="auto"/>
                  </w:divBdr>
                  <w:divsChild>
                    <w:div w:id="98489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133115">
              <w:marLeft w:val="0"/>
              <w:marRight w:val="0"/>
              <w:marTop w:val="0"/>
              <w:marBottom w:val="0"/>
              <w:divBdr>
                <w:top w:val="none" w:sz="0" w:space="0" w:color="auto"/>
                <w:left w:val="none" w:sz="0" w:space="0" w:color="auto"/>
                <w:bottom w:val="none" w:sz="0" w:space="0" w:color="auto"/>
                <w:right w:val="none" w:sz="0" w:space="0" w:color="auto"/>
              </w:divBdr>
              <w:divsChild>
                <w:div w:id="138619121">
                  <w:marLeft w:val="0"/>
                  <w:marRight w:val="0"/>
                  <w:marTop w:val="0"/>
                  <w:marBottom w:val="0"/>
                  <w:divBdr>
                    <w:top w:val="none" w:sz="0" w:space="0" w:color="auto"/>
                    <w:left w:val="none" w:sz="0" w:space="0" w:color="auto"/>
                    <w:bottom w:val="none" w:sz="0" w:space="0" w:color="auto"/>
                    <w:right w:val="none" w:sz="0" w:space="0" w:color="auto"/>
                  </w:divBdr>
                  <w:divsChild>
                    <w:div w:id="79869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08439">
              <w:marLeft w:val="0"/>
              <w:marRight w:val="0"/>
              <w:marTop w:val="0"/>
              <w:marBottom w:val="0"/>
              <w:divBdr>
                <w:top w:val="none" w:sz="0" w:space="0" w:color="auto"/>
                <w:left w:val="none" w:sz="0" w:space="0" w:color="auto"/>
                <w:bottom w:val="none" w:sz="0" w:space="0" w:color="auto"/>
                <w:right w:val="none" w:sz="0" w:space="0" w:color="auto"/>
              </w:divBdr>
              <w:divsChild>
                <w:div w:id="1928339778">
                  <w:marLeft w:val="0"/>
                  <w:marRight w:val="0"/>
                  <w:marTop w:val="0"/>
                  <w:marBottom w:val="0"/>
                  <w:divBdr>
                    <w:top w:val="none" w:sz="0" w:space="0" w:color="auto"/>
                    <w:left w:val="none" w:sz="0" w:space="0" w:color="auto"/>
                    <w:bottom w:val="none" w:sz="0" w:space="0" w:color="auto"/>
                    <w:right w:val="none" w:sz="0" w:space="0" w:color="auto"/>
                  </w:divBdr>
                  <w:divsChild>
                    <w:div w:id="163016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131633">
              <w:marLeft w:val="0"/>
              <w:marRight w:val="0"/>
              <w:marTop w:val="0"/>
              <w:marBottom w:val="0"/>
              <w:divBdr>
                <w:top w:val="none" w:sz="0" w:space="0" w:color="auto"/>
                <w:left w:val="none" w:sz="0" w:space="0" w:color="auto"/>
                <w:bottom w:val="none" w:sz="0" w:space="0" w:color="auto"/>
                <w:right w:val="none" w:sz="0" w:space="0" w:color="auto"/>
              </w:divBdr>
              <w:divsChild>
                <w:div w:id="929433774">
                  <w:marLeft w:val="0"/>
                  <w:marRight w:val="0"/>
                  <w:marTop w:val="0"/>
                  <w:marBottom w:val="0"/>
                  <w:divBdr>
                    <w:top w:val="none" w:sz="0" w:space="0" w:color="auto"/>
                    <w:left w:val="none" w:sz="0" w:space="0" w:color="auto"/>
                    <w:bottom w:val="none" w:sz="0" w:space="0" w:color="auto"/>
                    <w:right w:val="none" w:sz="0" w:space="0" w:color="auto"/>
                  </w:divBdr>
                  <w:divsChild>
                    <w:div w:id="99040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47871">
              <w:marLeft w:val="0"/>
              <w:marRight w:val="0"/>
              <w:marTop w:val="0"/>
              <w:marBottom w:val="0"/>
              <w:divBdr>
                <w:top w:val="none" w:sz="0" w:space="0" w:color="auto"/>
                <w:left w:val="none" w:sz="0" w:space="0" w:color="auto"/>
                <w:bottom w:val="none" w:sz="0" w:space="0" w:color="auto"/>
                <w:right w:val="none" w:sz="0" w:space="0" w:color="auto"/>
              </w:divBdr>
              <w:divsChild>
                <w:div w:id="1832746703">
                  <w:marLeft w:val="0"/>
                  <w:marRight w:val="0"/>
                  <w:marTop w:val="0"/>
                  <w:marBottom w:val="0"/>
                  <w:divBdr>
                    <w:top w:val="none" w:sz="0" w:space="0" w:color="auto"/>
                    <w:left w:val="none" w:sz="0" w:space="0" w:color="auto"/>
                    <w:bottom w:val="none" w:sz="0" w:space="0" w:color="auto"/>
                    <w:right w:val="none" w:sz="0" w:space="0" w:color="auto"/>
                  </w:divBdr>
                  <w:divsChild>
                    <w:div w:id="118968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890583">
          <w:marLeft w:val="0"/>
          <w:marRight w:val="0"/>
          <w:marTop w:val="0"/>
          <w:marBottom w:val="0"/>
          <w:divBdr>
            <w:top w:val="none" w:sz="0" w:space="0" w:color="auto"/>
            <w:left w:val="none" w:sz="0" w:space="0" w:color="auto"/>
            <w:bottom w:val="none" w:sz="0" w:space="0" w:color="auto"/>
            <w:right w:val="none" w:sz="0" w:space="0" w:color="auto"/>
          </w:divBdr>
          <w:divsChild>
            <w:div w:id="66924770">
              <w:marLeft w:val="0"/>
              <w:marRight w:val="0"/>
              <w:marTop w:val="0"/>
              <w:marBottom w:val="0"/>
              <w:divBdr>
                <w:top w:val="none" w:sz="0" w:space="0" w:color="auto"/>
                <w:left w:val="none" w:sz="0" w:space="0" w:color="auto"/>
                <w:bottom w:val="none" w:sz="0" w:space="0" w:color="auto"/>
                <w:right w:val="none" w:sz="0" w:space="0" w:color="auto"/>
              </w:divBdr>
              <w:divsChild>
                <w:div w:id="8808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94990">
          <w:marLeft w:val="0"/>
          <w:marRight w:val="0"/>
          <w:marTop w:val="0"/>
          <w:marBottom w:val="0"/>
          <w:divBdr>
            <w:top w:val="none" w:sz="0" w:space="0" w:color="auto"/>
            <w:left w:val="none" w:sz="0" w:space="0" w:color="auto"/>
            <w:bottom w:val="none" w:sz="0" w:space="0" w:color="auto"/>
            <w:right w:val="none" w:sz="0" w:space="0" w:color="auto"/>
          </w:divBdr>
          <w:divsChild>
            <w:div w:id="979772928">
              <w:marLeft w:val="0"/>
              <w:marRight w:val="0"/>
              <w:marTop w:val="0"/>
              <w:marBottom w:val="0"/>
              <w:divBdr>
                <w:top w:val="none" w:sz="0" w:space="0" w:color="auto"/>
                <w:left w:val="none" w:sz="0" w:space="0" w:color="auto"/>
                <w:bottom w:val="none" w:sz="0" w:space="0" w:color="auto"/>
                <w:right w:val="none" w:sz="0" w:space="0" w:color="auto"/>
              </w:divBdr>
              <w:divsChild>
                <w:div w:id="200285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779387">
          <w:marLeft w:val="0"/>
          <w:marRight w:val="0"/>
          <w:marTop w:val="0"/>
          <w:marBottom w:val="0"/>
          <w:divBdr>
            <w:top w:val="none" w:sz="0" w:space="0" w:color="auto"/>
            <w:left w:val="none" w:sz="0" w:space="0" w:color="auto"/>
            <w:bottom w:val="none" w:sz="0" w:space="0" w:color="auto"/>
            <w:right w:val="none" w:sz="0" w:space="0" w:color="auto"/>
          </w:divBdr>
          <w:divsChild>
            <w:div w:id="447437280">
              <w:marLeft w:val="0"/>
              <w:marRight w:val="0"/>
              <w:marTop w:val="0"/>
              <w:marBottom w:val="0"/>
              <w:divBdr>
                <w:top w:val="none" w:sz="0" w:space="0" w:color="auto"/>
                <w:left w:val="none" w:sz="0" w:space="0" w:color="auto"/>
                <w:bottom w:val="none" w:sz="0" w:space="0" w:color="auto"/>
                <w:right w:val="none" w:sz="0" w:space="0" w:color="auto"/>
              </w:divBdr>
              <w:divsChild>
                <w:div w:id="44867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527876">
          <w:marLeft w:val="0"/>
          <w:marRight w:val="0"/>
          <w:marTop w:val="0"/>
          <w:marBottom w:val="0"/>
          <w:divBdr>
            <w:top w:val="none" w:sz="0" w:space="0" w:color="auto"/>
            <w:left w:val="none" w:sz="0" w:space="0" w:color="auto"/>
            <w:bottom w:val="none" w:sz="0" w:space="0" w:color="auto"/>
            <w:right w:val="none" w:sz="0" w:space="0" w:color="auto"/>
          </w:divBdr>
          <w:divsChild>
            <w:div w:id="1249925637">
              <w:marLeft w:val="0"/>
              <w:marRight w:val="0"/>
              <w:marTop w:val="0"/>
              <w:marBottom w:val="0"/>
              <w:divBdr>
                <w:top w:val="none" w:sz="0" w:space="0" w:color="auto"/>
                <w:left w:val="none" w:sz="0" w:space="0" w:color="auto"/>
                <w:bottom w:val="none" w:sz="0" w:space="0" w:color="auto"/>
                <w:right w:val="none" w:sz="0" w:space="0" w:color="auto"/>
              </w:divBdr>
              <w:divsChild>
                <w:div w:id="68794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587925">
          <w:marLeft w:val="0"/>
          <w:marRight w:val="0"/>
          <w:marTop w:val="0"/>
          <w:marBottom w:val="0"/>
          <w:divBdr>
            <w:top w:val="none" w:sz="0" w:space="0" w:color="auto"/>
            <w:left w:val="none" w:sz="0" w:space="0" w:color="auto"/>
            <w:bottom w:val="none" w:sz="0" w:space="0" w:color="auto"/>
            <w:right w:val="none" w:sz="0" w:space="0" w:color="auto"/>
          </w:divBdr>
          <w:divsChild>
            <w:div w:id="1073501819">
              <w:marLeft w:val="0"/>
              <w:marRight w:val="0"/>
              <w:marTop w:val="0"/>
              <w:marBottom w:val="0"/>
              <w:divBdr>
                <w:top w:val="none" w:sz="0" w:space="0" w:color="auto"/>
                <w:left w:val="none" w:sz="0" w:space="0" w:color="auto"/>
                <w:bottom w:val="none" w:sz="0" w:space="0" w:color="auto"/>
                <w:right w:val="none" w:sz="0" w:space="0" w:color="auto"/>
              </w:divBdr>
              <w:divsChild>
                <w:div w:id="138591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371456">
          <w:marLeft w:val="0"/>
          <w:marRight w:val="0"/>
          <w:marTop w:val="0"/>
          <w:marBottom w:val="0"/>
          <w:divBdr>
            <w:top w:val="none" w:sz="0" w:space="0" w:color="auto"/>
            <w:left w:val="none" w:sz="0" w:space="0" w:color="auto"/>
            <w:bottom w:val="none" w:sz="0" w:space="0" w:color="auto"/>
            <w:right w:val="none" w:sz="0" w:space="0" w:color="auto"/>
          </w:divBdr>
          <w:divsChild>
            <w:div w:id="1631858285">
              <w:marLeft w:val="0"/>
              <w:marRight w:val="0"/>
              <w:marTop w:val="0"/>
              <w:marBottom w:val="0"/>
              <w:divBdr>
                <w:top w:val="none" w:sz="0" w:space="0" w:color="auto"/>
                <w:left w:val="none" w:sz="0" w:space="0" w:color="auto"/>
                <w:bottom w:val="none" w:sz="0" w:space="0" w:color="auto"/>
                <w:right w:val="none" w:sz="0" w:space="0" w:color="auto"/>
              </w:divBdr>
              <w:divsChild>
                <w:div w:id="201202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829295">
      <w:bodyDiv w:val="1"/>
      <w:marLeft w:val="0"/>
      <w:marRight w:val="0"/>
      <w:marTop w:val="0"/>
      <w:marBottom w:val="0"/>
      <w:divBdr>
        <w:top w:val="none" w:sz="0" w:space="0" w:color="auto"/>
        <w:left w:val="none" w:sz="0" w:space="0" w:color="auto"/>
        <w:bottom w:val="none" w:sz="0" w:space="0" w:color="auto"/>
        <w:right w:val="none" w:sz="0" w:space="0" w:color="auto"/>
      </w:divBdr>
    </w:div>
    <w:div w:id="1221405992">
      <w:bodyDiv w:val="1"/>
      <w:marLeft w:val="0"/>
      <w:marRight w:val="0"/>
      <w:marTop w:val="0"/>
      <w:marBottom w:val="0"/>
      <w:divBdr>
        <w:top w:val="none" w:sz="0" w:space="0" w:color="auto"/>
        <w:left w:val="none" w:sz="0" w:space="0" w:color="auto"/>
        <w:bottom w:val="none" w:sz="0" w:space="0" w:color="auto"/>
        <w:right w:val="none" w:sz="0" w:space="0" w:color="auto"/>
      </w:divBdr>
    </w:div>
    <w:div w:id="1439790961">
      <w:bodyDiv w:val="1"/>
      <w:marLeft w:val="0"/>
      <w:marRight w:val="0"/>
      <w:marTop w:val="0"/>
      <w:marBottom w:val="0"/>
      <w:divBdr>
        <w:top w:val="none" w:sz="0" w:space="0" w:color="auto"/>
        <w:left w:val="none" w:sz="0" w:space="0" w:color="auto"/>
        <w:bottom w:val="none" w:sz="0" w:space="0" w:color="auto"/>
        <w:right w:val="none" w:sz="0" w:space="0" w:color="auto"/>
      </w:divBdr>
    </w:div>
    <w:div w:id="1574852026">
      <w:bodyDiv w:val="1"/>
      <w:marLeft w:val="0"/>
      <w:marRight w:val="0"/>
      <w:marTop w:val="0"/>
      <w:marBottom w:val="0"/>
      <w:divBdr>
        <w:top w:val="none" w:sz="0" w:space="0" w:color="auto"/>
        <w:left w:val="none" w:sz="0" w:space="0" w:color="auto"/>
        <w:bottom w:val="none" w:sz="0" w:space="0" w:color="auto"/>
        <w:right w:val="none" w:sz="0" w:space="0" w:color="auto"/>
      </w:divBdr>
    </w:div>
    <w:div w:id="1617367085">
      <w:bodyDiv w:val="1"/>
      <w:marLeft w:val="0"/>
      <w:marRight w:val="0"/>
      <w:marTop w:val="0"/>
      <w:marBottom w:val="0"/>
      <w:divBdr>
        <w:top w:val="none" w:sz="0" w:space="0" w:color="auto"/>
        <w:left w:val="none" w:sz="0" w:space="0" w:color="auto"/>
        <w:bottom w:val="none" w:sz="0" w:space="0" w:color="auto"/>
        <w:right w:val="none" w:sz="0" w:space="0" w:color="auto"/>
      </w:divBdr>
      <w:divsChild>
        <w:div w:id="1338653589">
          <w:marLeft w:val="0"/>
          <w:marRight w:val="0"/>
          <w:marTop w:val="0"/>
          <w:marBottom w:val="0"/>
          <w:divBdr>
            <w:top w:val="none" w:sz="0" w:space="0" w:color="auto"/>
            <w:left w:val="none" w:sz="0" w:space="0" w:color="auto"/>
            <w:bottom w:val="none" w:sz="0" w:space="0" w:color="auto"/>
            <w:right w:val="none" w:sz="0" w:space="0" w:color="auto"/>
          </w:divBdr>
          <w:divsChild>
            <w:div w:id="167799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55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ntrol" Target="activeX/activeX1.xm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2-5CC6-11CF-8D67-00AA00BDCE1D}" ax:persistence="persistStream" r:id="rId1"/>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1780</Words>
  <Characters>10151</Characters>
  <Application>Microsoft Office Word</Application>
  <DocSecurity>0</DocSecurity>
  <Lines>84</Lines>
  <Paragraphs>23</Paragraphs>
  <ScaleCrop>false</ScaleCrop>
  <Company/>
  <LinksUpToDate>false</LinksUpToDate>
  <CharactersWithSpaces>11908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2019-01-06T17:52:00Z</dcterms:created>
  <dcterms:modified xsi:type="dcterms:W3CDTF">2019-01-06T17:57:00Z</dcterms:modified>
</cp:coreProperties>
</file>