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6F1" w:rsidRDefault="007359EC">
      <w:hyperlink r:id="rId5" w:history="1">
        <w:r w:rsidRPr="00AC00E3">
          <w:rPr>
            <w:rStyle w:val="a3"/>
          </w:rPr>
          <w:t>https://www.tita.bg/news/1428?fbclid=IwAR1LMh8PaLF72Tef9AtScsNcAAtGfVgnzJmdsPN-JWhaDby1ABrtCv3KLek</w:t>
        </w:r>
      </w:hyperlink>
    </w:p>
    <w:p w:rsidR="007359EC" w:rsidRDefault="007359EC" w:rsidP="007359EC">
      <w:pPr>
        <w:pStyle w:val="2"/>
      </w:pPr>
      <w:r>
        <w:t>Най-важното от промените в ЗСч</w:t>
      </w:r>
    </w:p>
    <w:p w:rsidR="007359EC" w:rsidRDefault="007359EC" w:rsidP="007359EC">
      <w:r>
        <w:rPr>
          <w:sz w:val="20"/>
          <w:szCs w:val="20"/>
        </w:rPr>
        <w:t>10 декември, 2019</w:t>
      </w:r>
      <w:r>
        <w:t xml:space="preserve"> </w:t>
      </w:r>
    </w:p>
    <w:p w:rsidR="007359EC" w:rsidRDefault="007359EC" w:rsidP="007359EC">
      <w:pPr>
        <w:pStyle w:val="a4"/>
        <w:jc w:val="center"/>
      </w:pPr>
      <w:r>
        <w:rPr>
          <w:rStyle w:val="a5"/>
        </w:rPr>
        <w:t>Най-важното от промените в ЗС</w:t>
      </w:r>
      <w:r>
        <w:t> </w:t>
      </w:r>
    </w:p>
    <w:p w:rsidR="007359EC" w:rsidRDefault="007359EC" w:rsidP="007359EC">
      <w:pPr>
        <w:pStyle w:val="a4"/>
      </w:pPr>
      <w:r>
        <w:rPr>
          <w:rStyle w:val="a6"/>
        </w:rPr>
        <w:t>Актуално към 10.12. 2019 г.</w:t>
      </w:r>
    </w:p>
    <w:p w:rsidR="007359EC" w:rsidRDefault="007359EC" w:rsidP="007359EC">
      <w:pPr>
        <w:pStyle w:val="a4"/>
        <w:jc w:val="both"/>
      </w:pPr>
      <w:r>
        <w:t xml:space="preserve">В ДВ брой 96 от 06.12.2019 г. е обнародван </w:t>
      </w:r>
      <w:hyperlink r:id="rId6" w:history="1">
        <w:r>
          <w:rPr>
            <w:rStyle w:val="a3"/>
            <w:i/>
            <w:iCs/>
          </w:rPr>
          <w:t>Законът за изменение и допълнение на Закона за корпоративното подоходно облагане</w:t>
        </w:r>
      </w:hyperlink>
      <w:r>
        <w:rPr>
          <w:rStyle w:val="a6"/>
        </w:rPr>
        <w:t xml:space="preserve"> (ЗИДЗКПО)</w:t>
      </w:r>
      <w:r>
        <w:t xml:space="preserve">,  с който се въвеждат поредните промени в данъчните закони, приложими за следващата 2020 г. С </w:t>
      </w:r>
      <w:r>
        <w:rPr>
          <w:rStyle w:val="a5"/>
        </w:rPr>
        <w:t>§ 39 и § 40</w:t>
      </w:r>
      <w:r>
        <w:t xml:space="preserve"> от преходните и заключителни разпоредби се правят съответните изменения и в </w:t>
      </w:r>
      <w:r>
        <w:rPr>
          <w:rStyle w:val="a6"/>
          <w:b/>
          <w:bCs/>
        </w:rPr>
        <w:t xml:space="preserve">Закона за счетоводството </w:t>
      </w:r>
      <w:r>
        <w:t>(ЗСч).</w:t>
      </w:r>
    </w:p>
    <w:p w:rsidR="007359EC" w:rsidRDefault="007359EC" w:rsidP="007359EC">
      <w:pPr>
        <w:pStyle w:val="a4"/>
        <w:jc w:val="both"/>
      </w:pPr>
      <w:r>
        <w:t xml:space="preserve">Както е посочен в </w:t>
      </w:r>
      <w:hyperlink r:id="rId7" w:history="1">
        <w:r>
          <w:rPr>
            <w:rStyle w:val="a3"/>
          </w:rPr>
          <w:t>Мотивите</w:t>
        </w:r>
      </w:hyperlink>
      <w:r>
        <w:t> към проекта на ЗИДЗКПО промените в ЗСч са породени от необходимостта от прецизиране, коригиране и допълване на някои разпоредби с цел по правилното им прилагане в практиката и по-ясното им разбиране и тълкуване</w:t>
      </w:r>
    </w:p>
    <w:p w:rsidR="007359EC" w:rsidRDefault="007359EC" w:rsidP="007359EC">
      <w:pPr>
        <w:pStyle w:val="a4"/>
        <w:jc w:val="both"/>
      </w:pPr>
      <w:r>
        <w:t xml:space="preserve">Промените в ЗСч не са много – изменени и допълнени са текстове в </w:t>
      </w:r>
      <w:hyperlink r:id="rId8" w:anchor="zsch_chl_34" w:history="1">
        <w:r>
          <w:rPr>
            <w:rStyle w:val="a3"/>
          </w:rPr>
          <w:t>чл. 34</w:t>
        </w:r>
      </w:hyperlink>
      <w:r>
        <w:t xml:space="preserve"> и </w:t>
      </w:r>
      <w:hyperlink r:id="rId9" w:anchor="zsch_chl_38" w:history="1">
        <w:r>
          <w:rPr>
            <w:rStyle w:val="a3"/>
          </w:rPr>
          <w:t>чл. 38</w:t>
        </w:r>
      </w:hyperlink>
      <w:r>
        <w:t xml:space="preserve"> и са направени отделни промени и в допълнителните разпоредби (</w:t>
      </w:r>
      <w:hyperlink r:id="rId10" w:anchor="zsch_pzr_4" w:history="1">
        <w:r>
          <w:rPr>
            <w:rStyle w:val="a3"/>
          </w:rPr>
          <w:t>§ 4</w:t>
        </w:r>
      </w:hyperlink>
      <w:r>
        <w:rPr>
          <w:color w:val="000000"/>
        </w:rPr>
        <w:t xml:space="preserve"> – </w:t>
      </w:r>
      <w:r>
        <w:rPr>
          <w:rStyle w:val="a6"/>
          <w:color w:val="000000"/>
        </w:rPr>
        <w:t>изм</w:t>
      </w:r>
      <w:r>
        <w:rPr>
          <w:color w:val="000000"/>
        </w:rPr>
        <w:t xml:space="preserve">., </w:t>
      </w:r>
      <w:hyperlink r:id="rId11" w:anchor="zsch_pzr_5" w:history="1">
        <w:r>
          <w:rPr>
            <w:rStyle w:val="a3"/>
          </w:rPr>
          <w:t>§ 5</w:t>
        </w:r>
      </w:hyperlink>
      <w:r>
        <w:rPr>
          <w:color w:val="000000"/>
        </w:rPr>
        <w:t xml:space="preserve"> – </w:t>
      </w:r>
      <w:r>
        <w:rPr>
          <w:rStyle w:val="a6"/>
          <w:color w:val="000000"/>
        </w:rPr>
        <w:t>отм.</w:t>
      </w:r>
      <w:r>
        <w:rPr>
          <w:color w:val="000000"/>
        </w:rPr>
        <w:t xml:space="preserve">, </w:t>
      </w:r>
      <w:hyperlink r:id="rId12" w:anchor="zsch_pzr_5b" w:history="1">
        <w:r>
          <w:rPr>
            <w:rStyle w:val="a3"/>
          </w:rPr>
          <w:t>§ 5б</w:t>
        </w:r>
      </w:hyperlink>
      <w:r>
        <w:rPr>
          <w:color w:val="000000"/>
        </w:rPr>
        <w:t xml:space="preserve"> –</w:t>
      </w:r>
      <w:r>
        <w:rPr>
          <w:rStyle w:val="a6"/>
          <w:color w:val="000000"/>
        </w:rPr>
        <w:t xml:space="preserve"> нов</w:t>
      </w:r>
      <w:r>
        <w:rPr>
          <w:color w:val="000000"/>
        </w:rPr>
        <w:t>).</w:t>
      </w:r>
    </w:p>
    <w:p w:rsidR="007359EC" w:rsidRDefault="007359EC" w:rsidP="007359EC">
      <w:pPr>
        <w:pStyle w:val="a4"/>
        <w:jc w:val="both"/>
      </w:pPr>
      <w:r>
        <w:t xml:space="preserve">Най-важните промени, на които трябва да се обърне внимание, са свързани с </w:t>
      </w:r>
      <w:r>
        <w:rPr>
          <w:rStyle w:val="a5"/>
        </w:rPr>
        <w:t>публичността на финансовите отчети:</w:t>
      </w:r>
    </w:p>
    <w:p w:rsidR="007359EC" w:rsidRDefault="007359EC" w:rsidP="007359EC">
      <w:pPr>
        <w:numPr>
          <w:ilvl w:val="0"/>
          <w:numId w:val="1"/>
        </w:numPr>
        <w:spacing w:before="100" w:beforeAutospacing="1" w:after="100" w:afterAutospacing="1" w:line="240" w:lineRule="auto"/>
        <w:jc w:val="both"/>
      </w:pPr>
      <w:r>
        <w:t xml:space="preserve">с </w:t>
      </w:r>
      <w:r>
        <w:rPr>
          <w:rStyle w:val="a5"/>
          <w:i/>
          <w:iCs/>
        </w:rPr>
        <w:t>допълнението</w:t>
      </w:r>
      <w:r>
        <w:t xml:space="preserve"> в </w:t>
      </w:r>
      <w:hyperlink r:id="rId13" w:anchor="zsch_chl_38" w:history="1">
        <w:r>
          <w:rPr>
            <w:rStyle w:val="a3"/>
          </w:rPr>
          <w:t>чл. 38, ал. 9, т. 1</w:t>
        </w:r>
      </w:hyperlink>
      <w:r>
        <w:t xml:space="preserve"> и новата </w:t>
      </w:r>
      <w:hyperlink r:id="rId14" w:anchor="zsch_chl_38" w:history="1">
        <w:r>
          <w:rPr>
            <w:rStyle w:val="a3"/>
          </w:rPr>
          <w:t>ал. 10</w:t>
        </w:r>
      </w:hyperlink>
      <w:r>
        <w:t xml:space="preserve"> от същата разпоредба на ЗСч категорично се регламентира, че едноличните търговци, чиито годишни финансови отчети </w:t>
      </w:r>
      <w:r>
        <w:rPr>
          <w:rStyle w:val="a6"/>
          <w:b/>
          <w:bCs/>
        </w:rPr>
        <w:t>не подлежат на независим финансов одит</w:t>
      </w:r>
      <w:r>
        <w:t xml:space="preserve">, както и тези еднолични търговци, които </w:t>
      </w:r>
      <w:r>
        <w:rPr>
          <w:rStyle w:val="a6"/>
          <w:b/>
          <w:bCs/>
        </w:rPr>
        <w:t>не са осъществявали дейност</w:t>
      </w:r>
      <w:r>
        <w:t xml:space="preserve"> през отчетния период</w:t>
      </w:r>
      <w:r>
        <w:rPr>
          <w:rStyle w:val="a5"/>
        </w:rPr>
        <w:t xml:space="preserve"> няма да публикуват своите ГФО и съответно няма да декларират обстоятелството, че не са осъществявали дейност</w:t>
      </w:r>
      <w:r>
        <w:t xml:space="preserve"> в Търговския регистър и регистър на ЮЛНЦ;</w:t>
      </w:r>
    </w:p>
    <w:p w:rsidR="007359EC" w:rsidRDefault="007359EC" w:rsidP="007359EC">
      <w:pPr>
        <w:numPr>
          <w:ilvl w:val="0"/>
          <w:numId w:val="1"/>
        </w:numPr>
        <w:spacing w:before="100" w:beforeAutospacing="1" w:after="100" w:afterAutospacing="1" w:line="240" w:lineRule="auto"/>
        <w:jc w:val="both"/>
      </w:pPr>
      <w:r>
        <w:t xml:space="preserve">с измененията на </w:t>
      </w:r>
      <w:hyperlink r:id="rId15" w:anchor="zsch_chl_38" w:history="1">
        <w:r>
          <w:rPr>
            <w:rStyle w:val="a3"/>
          </w:rPr>
          <w:t>чл. 38, ал. 2, т. 2</w:t>
        </w:r>
      </w:hyperlink>
      <w:r>
        <w:t xml:space="preserve"> се регламентира, че</w:t>
      </w:r>
      <w:r>
        <w:rPr>
          <w:rStyle w:val="a5"/>
        </w:rPr>
        <w:t xml:space="preserve"> предприятията </w:t>
      </w:r>
      <w:r>
        <w:t>(извън посочените в т. 1)</w:t>
      </w:r>
      <w:r>
        <w:rPr>
          <w:rStyle w:val="a5"/>
        </w:rPr>
        <w:t>, които не осъществяват дейност</w:t>
      </w:r>
      <w:r>
        <w:t xml:space="preserve"> ще декларират </w:t>
      </w:r>
      <w:r>
        <w:rPr>
          <w:rStyle w:val="a5"/>
        </w:rPr>
        <w:t>еднократно</w:t>
      </w:r>
      <w:r>
        <w:t xml:space="preserve"> това обстоятелство, а не както досега – ежегодно. Декларирането ще се осъществява с </w:t>
      </w:r>
      <w:r>
        <w:rPr>
          <w:rStyle w:val="a5"/>
        </w:rPr>
        <w:t>декларация по образец</w:t>
      </w:r>
      <w:r>
        <w:t xml:space="preserve">, утвърден със заповед на министъра на финансите. Декларирането ще се отнася по отношение на отчетни периоди, започващи на и след </w:t>
      </w:r>
      <w:r>
        <w:rPr>
          <w:rStyle w:val="a5"/>
        </w:rPr>
        <w:t>1 януари 2019 г. (</w:t>
      </w:r>
      <w:hyperlink r:id="rId16" w:anchor="zsch_pzr_40" w:history="1">
        <w:r>
          <w:rPr>
            <w:rStyle w:val="a3"/>
            <w:b/>
            <w:bCs/>
          </w:rPr>
          <w:t>§ 40</w:t>
        </w:r>
      </w:hyperlink>
      <w:r>
        <w:rPr>
          <w:rStyle w:val="a5"/>
        </w:rPr>
        <w:t xml:space="preserve"> от ПЗР на ЗИД ЗКПО)</w:t>
      </w:r>
    </w:p>
    <w:p w:rsidR="007359EC" w:rsidRDefault="007359EC" w:rsidP="007359EC">
      <w:pPr>
        <w:pStyle w:val="a4"/>
        <w:jc w:val="both"/>
      </w:pPr>
      <w:r>
        <w:t xml:space="preserve">Това означава, че предприятията, които през 2019 г. не са осъществявали дейност по смисъла на </w:t>
      </w:r>
      <w:hyperlink r:id="rId17" w:anchor="zsch_dr_1_t_30" w:history="1">
        <w:r>
          <w:rPr>
            <w:rStyle w:val="a3"/>
          </w:rPr>
          <w:t>§ 30</w:t>
        </w:r>
      </w:hyperlink>
      <w:r>
        <w:t xml:space="preserve"> от ДР на ЗСч, следва </w:t>
      </w:r>
      <w:r>
        <w:rPr>
          <w:rStyle w:val="a6"/>
          <w:b/>
          <w:bCs/>
        </w:rPr>
        <w:t xml:space="preserve">еднократно </w:t>
      </w:r>
      <w:r>
        <w:rPr>
          <w:rStyle w:val="a5"/>
        </w:rPr>
        <w:t>в срок до 31 март 2020 г.</w:t>
      </w:r>
      <w:r>
        <w:t xml:space="preserve"> да подадат </w:t>
      </w:r>
      <w:r>
        <w:rPr>
          <w:rStyle w:val="a5"/>
        </w:rPr>
        <w:t>декларация по образец</w:t>
      </w:r>
      <w:r>
        <w:t>, с която да</w:t>
      </w:r>
      <w:r>
        <w:rPr>
          <w:rStyle w:val="a5"/>
        </w:rPr>
        <w:t xml:space="preserve"> декларират своята икономическа неактивност</w:t>
      </w:r>
    </w:p>
    <w:p w:rsidR="007359EC" w:rsidRDefault="007359EC" w:rsidP="007359EC">
      <w:pPr>
        <w:pStyle w:val="a4"/>
        <w:jc w:val="both"/>
      </w:pPr>
      <w:r>
        <w:t xml:space="preserve">Ако дадено предприятие продължава да не осъществява дейност и през следващата 2020 г., то тогава в срок до 31 март на 2021 г. то </w:t>
      </w:r>
      <w:r>
        <w:rPr>
          <w:rStyle w:val="a5"/>
        </w:rPr>
        <w:t>няма да декларира своята неактивност</w:t>
      </w:r>
      <w:r>
        <w:t>, тъй като тя вече е била декларирана по отношение на предходната финансова 2019 г.</w:t>
      </w:r>
    </w:p>
    <w:p w:rsidR="007359EC" w:rsidRDefault="007359EC" w:rsidP="007359EC">
      <w:pPr>
        <w:pStyle w:val="a4"/>
        <w:jc w:val="both"/>
      </w:pPr>
      <w:r>
        <w:lastRenderedPageBreak/>
        <w:t> </w:t>
      </w:r>
    </w:p>
    <w:p w:rsidR="007359EC" w:rsidRDefault="007359EC" w:rsidP="007359EC"/>
    <w:p w:rsidR="007359EC" w:rsidRDefault="007359EC"/>
    <w:sectPr w:rsidR="007359EC" w:rsidSect="00FC26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7955AA"/>
    <w:multiLevelType w:val="multilevel"/>
    <w:tmpl w:val="4C4C5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7105598"/>
    <w:multiLevelType w:val="multilevel"/>
    <w:tmpl w:val="CA12A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7359EC"/>
    <w:rsid w:val="0010224A"/>
    <w:rsid w:val="007359EC"/>
    <w:rsid w:val="00FC2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6F1"/>
  </w:style>
  <w:style w:type="paragraph" w:styleId="2">
    <w:name w:val="heading 2"/>
    <w:basedOn w:val="a"/>
    <w:link w:val="20"/>
    <w:uiPriority w:val="9"/>
    <w:qFormat/>
    <w:rsid w:val="007359E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359EC"/>
    <w:rPr>
      <w:color w:val="0000FF" w:themeColor="hyperlink"/>
      <w:u w:val="single"/>
    </w:rPr>
  </w:style>
  <w:style w:type="character" w:customStyle="1" w:styleId="20">
    <w:name w:val="Заглавие 2 Знак"/>
    <w:basedOn w:val="a0"/>
    <w:link w:val="2"/>
    <w:uiPriority w:val="9"/>
    <w:rsid w:val="007359EC"/>
    <w:rPr>
      <w:rFonts w:ascii="Times New Roman" w:eastAsia="Times New Roman" w:hAnsi="Times New Roman" w:cs="Times New Roman"/>
      <w:b/>
      <w:bCs/>
      <w:sz w:val="36"/>
      <w:szCs w:val="36"/>
      <w:lang w:eastAsia="bg-BG"/>
    </w:rPr>
  </w:style>
  <w:style w:type="paragraph" w:styleId="a4">
    <w:name w:val="Normal (Web)"/>
    <w:basedOn w:val="a"/>
    <w:uiPriority w:val="99"/>
    <w:semiHidden/>
    <w:unhideWhenUsed/>
    <w:rsid w:val="007359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5">
    <w:name w:val="Strong"/>
    <w:basedOn w:val="a0"/>
    <w:uiPriority w:val="22"/>
    <w:qFormat/>
    <w:rsid w:val="007359EC"/>
    <w:rPr>
      <w:b/>
      <w:bCs/>
    </w:rPr>
  </w:style>
  <w:style w:type="character" w:styleId="a6">
    <w:name w:val="Emphasis"/>
    <w:basedOn w:val="a0"/>
    <w:uiPriority w:val="20"/>
    <w:qFormat/>
    <w:rsid w:val="007359E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ta.bg/page/427" TargetMode="External"/><Relationship Id="rId13" Type="http://schemas.openxmlformats.org/officeDocument/2006/relationships/hyperlink" Target="https://www.tita.bg/page/427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ita.bg/downloads/Edition_09_2019/Motivi%20ZID%20ZKPO%202020.pdf" TargetMode="External"/><Relationship Id="rId12" Type="http://schemas.openxmlformats.org/officeDocument/2006/relationships/hyperlink" Target="https://www.tita.bg/page/427" TargetMode="External"/><Relationship Id="rId17" Type="http://schemas.openxmlformats.org/officeDocument/2006/relationships/hyperlink" Target="https://www.tita.bg/page/427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ita.bg/page/427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dv.parliament.bg/DVWeb/showMaterialDV.jsp?idMat=143150" TargetMode="External"/><Relationship Id="rId11" Type="http://schemas.openxmlformats.org/officeDocument/2006/relationships/hyperlink" Target="https://www.tita.bg/page/427" TargetMode="External"/><Relationship Id="rId5" Type="http://schemas.openxmlformats.org/officeDocument/2006/relationships/hyperlink" Target="https://www.tita.bg/news/1428?fbclid=IwAR1LMh8PaLF72Tef9AtScsNcAAtGfVgnzJmdsPN-JWhaDby1ABrtCv3KLek" TargetMode="External"/><Relationship Id="rId15" Type="http://schemas.openxmlformats.org/officeDocument/2006/relationships/hyperlink" Target="https://www.tita.bg/page/427" TargetMode="External"/><Relationship Id="rId10" Type="http://schemas.openxmlformats.org/officeDocument/2006/relationships/hyperlink" Target="https://www.tita.bg/page/427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tita.bg/page/427" TargetMode="External"/><Relationship Id="rId14" Type="http://schemas.openxmlformats.org/officeDocument/2006/relationships/hyperlink" Target="https://www.tita.bg/page/427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502</Words>
  <Characters>2864</Characters>
  <Application>Microsoft Office Word</Application>
  <DocSecurity>0</DocSecurity>
  <Lines>23</Lines>
  <Paragraphs>6</Paragraphs>
  <ScaleCrop>false</ScaleCrop>
  <Company/>
  <LinksUpToDate>false</LinksUpToDate>
  <CharactersWithSpaces>3360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1</cp:revision>
  <dcterms:created xsi:type="dcterms:W3CDTF">2019-12-11T01:18:00Z</dcterms:created>
  <dcterms:modified xsi:type="dcterms:W3CDTF">2019-12-11T01:20:00Z</dcterms:modified>
</cp:coreProperties>
</file>