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36D0" w:rsidRPr="001436D0" w:rsidRDefault="001436D0" w:rsidP="001436D0">
      <w:pPr>
        <w:spacing w:before="300" w:after="150" w:line="557" w:lineRule="atLeast"/>
        <w:outlineLvl w:val="1"/>
        <w:rPr>
          <w:rFonts w:ascii="Open Sans" w:eastAsia="Times New Roman" w:hAnsi="Open Sans" w:cs="Arial"/>
          <w:color w:val="555555"/>
          <w:sz w:val="39"/>
          <w:szCs w:val="39"/>
          <w:lang w:eastAsia="bg-BG"/>
        </w:rPr>
      </w:pPr>
      <w:r w:rsidRPr="001436D0">
        <w:rPr>
          <w:rFonts w:ascii="Open Sans" w:eastAsia="Times New Roman" w:hAnsi="Open Sans" w:cs="Arial"/>
          <w:color w:val="555555"/>
          <w:sz w:val="39"/>
          <w:szCs w:val="39"/>
          <w:lang w:eastAsia="bg-BG"/>
        </w:rPr>
        <w:t>ОТНОСНО: приложение на разпоредбите на Закона за ограничаване плащанията в брой при изплащане на дивидент  </w:t>
      </w:r>
    </w:p>
    <w:p w:rsidR="001436D0" w:rsidRPr="001436D0" w:rsidRDefault="001436D0" w:rsidP="001436D0">
      <w:pPr>
        <w:spacing w:after="0" w:line="343" w:lineRule="atLeast"/>
        <w:rPr>
          <w:rFonts w:ascii="Open Sans" w:eastAsia="Times New Roman" w:hAnsi="Open Sans" w:cs="Arial"/>
          <w:color w:val="555555"/>
          <w:sz w:val="24"/>
          <w:szCs w:val="24"/>
          <w:lang w:eastAsia="bg-BG"/>
        </w:rPr>
      </w:pPr>
      <w:r w:rsidRPr="001436D0">
        <w:rPr>
          <w:rFonts w:ascii="Open Sans" w:eastAsia="Times New Roman" w:hAnsi="Open Sans" w:cs="Arial"/>
          <w:color w:val="555555"/>
          <w:sz w:val="24"/>
          <w:szCs w:val="24"/>
          <w:lang w:eastAsia="bg-BG"/>
        </w:rPr>
        <w:t>октомври 13, 2020</w:t>
      </w:r>
    </w:p>
    <w:p w:rsidR="001436D0" w:rsidRPr="001436D0" w:rsidRDefault="001436D0" w:rsidP="001436D0">
      <w:pPr>
        <w:spacing w:after="150" w:line="343" w:lineRule="atLeast"/>
        <w:rPr>
          <w:rFonts w:ascii="Open Sans" w:eastAsia="Times New Roman" w:hAnsi="Open Sans" w:cs="Arial"/>
          <w:color w:val="555555"/>
          <w:sz w:val="24"/>
          <w:szCs w:val="24"/>
          <w:lang w:eastAsia="bg-BG"/>
        </w:rPr>
      </w:pPr>
      <w:r w:rsidRPr="001436D0">
        <w:rPr>
          <w:rFonts w:ascii="Open Sans" w:eastAsia="Times New Roman" w:hAnsi="Open Sans" w:cs="Arial"/>
          <w:color w:val="555555"/>
          <w:sz w:val="24"/>
          <w:szCs w:val="24"/>
          <w:lang w:eastAsia="bg-BG"/>
        </w:rPr>
        <w:t>Изх. № М-26-Д-542</w:t>
      </w:r>
    </w:p>
    <w:p w:rsidR="001436D0" w:rsidRPr="001436D0" w:rsidRDefault="001436D0" w:rsidP="001436D0">
      <w:pPr>
        <w:spacing w:after="150" w:line="343" w:lineRule="atLeast"/>
        <w:rPr>
          <w:rFonts w:ascii="Open Sans" w:eastAsia="Times New Roman" w:hAnsi="Open Sans" w:cs="Arial"/>
          <w:color w:val="555555"/>
          <w:sz w:val="24"/>
          <w:szCs w:val="24"/>
          <w:lang w:eastAsia="bg-BG"/>
        </w:rPr>
      </w:pPr>
      <w:r w:rsidRPr="001436D0">
        <w:rPr>
          <w:rFonts w:ascii="Open Sans" w:eastAsia="Times New Roman" w:hAnsi="Open Sans" w:cs="Arial"/>
          <w:color w:val="555555"/>
          <w:sz w:val="24"/>
          <w:szCs w:val="24"/>
          <w:lang w:eastAsia="bg-BG"/>
        </w:rPr>
        <w:t>Дата:  21.05.2020 год.</w:t>
      </w:r>
    </w:p>
    <w:p w:rsidR="001436D0" w:rsidRPr="001436D0" w:rsidRDefault="001436D0" w:rsidP="001436D0">
      <w:pPr>
        <w:spacing w:after="150" w:line="343" w:lineRule="atLeast"/>
        <w:rPr>
          <w:rFonts w:ascii="Open Sans" w:eastAsia="Times New Roman" w:hAnsi="Open Sans" w:cs="Arial"/>
          <w:color w:val="555555"/>
          <w:sz w:val="24"/>
          <w:szCs w:val="24"/>
          <w:lang w:eastAsia="bg-BG"/>
        </w:rPr>
      </w:pPr>
      <w:r w:rsidRPr="001436D0">
        <w:rPr>
          <w:rFonts w:ascii="Open Sans" w:eastAsia="Times New Roman" w:hAnsi="Open Sans" w:cs="Arial"/>
          <w:color w:val="555555"/>
          <w:sz w:val="24"/>
          <w:szCs w:val="24"/>
          <w:lang w:eastAsia="bg-BG"/>
        </w:rPr>
        <w:t>ЗОПБ, чл. 3, ал. 1, т. 1;</w:t>
      </w:r>
    </w:p>
    <w:p w:rsidR="001436D0" w:rsidRPr="001436D0" w:rsidRDefault="001436D0" w:rsidP="001436D0">
      <w:pPr>
        <w:spacing w:after="150" w:line="343" w:lineRule="atLeast"/>
        <w:rPr>
          <w:rFonts w:ascii="Open Sans" w:eastAsia="Times New Roman" w:hAnsi="Open Sans" w:cs="Arial"/>
          <w:color w:val="555555"/>
          <w:sz w:val="24"/>
          <w:szCs w:val="24"/>
          <w:lang w:eastAsia="bg-BG"/>
        </w:rPr>
      </w:pPr>
      <w:r w:rsidRPr="001436D0">
        <w:rPr>
          <w:rFonts w:ascii="Open Sans" w:eastAsia="Times New Roman" w:hAnsi="Open Sans" w:cs="Arial"/>
          <w:color w:val="555555"/>
          <w:sz w:val="24"/>
          <w:szCs w:val="24"/>
          <w:lang w:eastAsia="bg-BG"/>
        </w:rPr>
        <w:t>ЗОПБ, чл. 3, ал. 1, т. 2.</w:t>
      </w:r>
    </w:p>
    <w:p w:rsidR="001436D0" w:rsidRPr="001436D0" w:rsidRDefault="001436D0" w:rsidP="001436D0">
      <w:pPr>
        <w:spacing w:after="150" w:line="343" w:lineRule="atLeast"/>
        <w:rPr>
          <w:rFonts w:ascii="Open Sans" w:eastAsia="Times New Roman" w:hAnsi="Open Sans" w:cs="Arial"/>
          <w:color w:val="555555"/>
          <w:sz w:val="24"/>
          <w:szCs w:val="24"/>
          <w:lang w:eastAsia="bg-BG"/>
        </w:rPr>
      </w:pPr>
      <w:r w:rsidRPr="001436D0">
        <w:rPr>
          <w:rFonts w:ascii="Open Sans" w:eastAsia="Times New Roman" w:hAnsi="Open Sans" w:cs="Arial"/>
          <w:b/>
          <w:bCs/>
          <w:color w:val="555555"/>
          <w:sz w:val="24"/>
          <w:szCs w:val="24"/>
          <w:lang w:eastAsia="bg-BG"/>
        </w:rPr>
        <w:t xml:space="preserve">                                                                        </w:t>
      </w:r>
    </w:p>
    <w:p w:rsidR="001436D0" w:rsidRPr="001436D0" w:rsidRDefault="001436D0" w:rsidP="001436D0">
      <w:pPr>
        <w:spacing w:after="150" w:line="343" w:lineRule="atLeast"/>
        <w:rPr>
          <w:rFonts w:ascii="Open Sans" w:eastAsia="Times New Roman" w:hAnsi="Open Sans" w:cs="Arial"/>
          <w:color w:val="555555"/>
          <w:sz w:val="24"/>
          <w:szCs w:val="24"/>
          <w:lang w:eastAsia="bg-BG"/>
        </w:rPr>
      </w:pPr>
      <w:r w:rsidRPr="001436D0">
        <w:rPr>
          <w:rFonts w:ascii="Open Sans" w:eastAsia="Times New Roman" w:hAnsi="Open Sans" w:cs="Arial"/>
          <w:b/>
          <w:bCs/>
          <w:color w:val="555555"/>
          <w:sz w:val="24"/>
          <w:szCs w:val="24"/>
          <w:lang w:eastAsia="bg-BG"/>
        </w:rPr>
        <w:t>ОТНОСНО</w:t>
      </w:r>
      <w:r w:rsidRPr="001436D0">
        <w:rPr>
          <w:rFonts w:ascii="Open Sans" w:eastAsia="Times New Roman" w:hAnsi="Open Sans" w:cs="Arial"/>
          <w:color w:val="555555"/>
          <w:sz w:val="24"/>
          <w:szCs w:val="24"/>
          <w:lang w:eastAsia="bg-BG"/>
        </w:rPr>
        <w:t xml:space="preserve">: приложение на разпоредбите на </w:t>
      </w:r>
      <w:r w:rsidRPr="001436D0">
        <w:rPr>
          <w:rFonts w:ascii="Open Sans" w:eastAsia="Times New Roman" w:hAnsi="Open Sans" w:cs="Arial"/>
          <w:b/>
          <w:bCs/>
          <w:i/>
          <w:iCs/>
          <w:color w:val="555555"/>
          <w:sz w:val="24"/>
          <w:szCs w:val="24"/>
          <w:lang w:eastAsia="bg-BG"/>
        </w:rPr>
        <w:t>Закона за ограничаване плащанията в брой</w:t>
      </w:r>
      <w:r w:rsidRPr="001436D0">
        <w:rPr>
          <w:rFonts w:ascii="Open Sans" w:eastAsia="Times New Roman" w:hAnsi="Open Sans" w:cs="Arial"/>
          <w:color w:val="555555"/>
          <w:sz w:val="24"/>
          <w:szCs w:val="24"/>
          <w:lang w:eastAsia="bg-BG"/>
        </w:rPr>
        <w:t xml:space="preserve"> при изплащане на дивидент</w:t>
      </w:r>
    </w:p>
    <w:p w:rsidR="001436D0" w:rsidRPr="001436D0" w:rsidRDefault="001436D0" w:rsidP="001436D0">
      <w:pPr>
        <w:spacing w:after="150" w:line="343" w:lineRule="atLeast"/>
        <w:rPr>
          <w:rFonts w:ascii="Open Sans" w:eastAsia="Times New Roman" w:hAnsi="Open Sans" w:cs="Arial"/>
          <w:color w:val="555555"/>
          <w:sz w:val="24"/>
          <w:szCs w:val="24"/>
          <w:lang w:eastAsia="bg-BG"/>
        </w:rPr>
      </w:pPr>
      <w:r w:rsidRPr="001436D0">
        <w:rPr>
          <w:rFonts w:ascii="Open Sans" w:eastAsia="Times New Roman" w:hAnsi="Open Sans" w:cs="Arial"/>
          <w:b/>
          <w:bCs/>
          <w:color w:val="555555"/>
          <w:sz w:val="24"/>
          <w:szCs w:val="24"/>
          <w:lang w:eastAsia="bg-BG"/>
        </w:rPr>
        <w:t> </w:t>
      </w:r>
    </w:p>
    <w:p w:rsidR="001436D0" w:rsidRPr="001436D0" w:rsidRDefault="001436D0" w:rsidP="001436D0">
      <w:pPr>
        <w:spacing w:after="150" w:line="343" w:lineRule="atLeast"/>
        <w:rPr>
          <w:rFonts w:ascii="Open Sans" w:eastAsia="Times New Roman" w:hAnsi="Open Sans" w:cs="Arial"/>
          <w:color w:val="555555"/>
          <w:sz w:val="24"/>
          <w:szCs w:val="24"/>
          <w:lang w:eastAsia="bg-BG"/>
        </w:rPr>
      </w:pPr>
      <w:r w:rsidRPr="001436D0">
        <w:rPr>
          <w:rFonts w:ascii="Open Sans" w:eastAsia="Times New Roman" w:hAnsi="Open Sans" w:cs="Arial"/>
          <w:b/>
          <w:bCs/>
          <w:color w:val="555555"/>
          <w:sz w:val="24"/>
          <w:szCs w:val="24"/>
          <w:lang w:eastAsia="bg-BG"/>
        </w:rPr>
        <w:t> </w:t>
      </w:r>
    </w:p>
    <w:p w:rsidR="001436D0" w:rsidRPr="001436D0" w:rsidRDefault="001436D0" w:rsidP="001436D0">
      <w:pPr>
        <w:spacing w:after="150" w:line="343" w:lineRule="atLeast"/>
        <w:rPr>
          <w:rFonts w:ascii="Open Sans" w:eastAsia="Times New Roman" w:hAnsi="Open Sans" w:cs="Arial"/>
          <w:color w:val="555555"/>
          <w:sz w:val="24"/>
          <w:szCs w:val="24"/>
          <w:lang w:eastAsia="bg-BG"/>
        </w:rPr>
      </w:pPr>
      <w:r w:rsidRPr="001436D0">
        <w:rPr>
          <w:rFonts w:ascii="Open Sans" w:eastAsia="Times New Roman" w:hAnsi="Open Sans" w:cs="Arial"/>
          <w:color w:val="555555"/>
          <w:sz w:val="24"/>
          <w:szCs w:val="24"/>
          <w:lang w:eastAsia="bg-BG"/>
        </w:rPr>
        <w:t xml:space="preserve">Във връзка с постъпило в Централно управление на Националната агенция за приходите Ваше запитване, заведено с вх. №……………., с което е поставен въпрос относно приложение на разпоредбите на </w:t>
      </w:r>
      <w:r w:rsidRPr="001436D0">
        <w:rPr>
          <w:rFonts w:ascii="Open Sans" w:eastAsia="Times New Roman" w:hAnsi="Open Sans" w:cs="Arial"/>
          <w:b/>
          <w:bCs/>
          <w:i/>
          <w:iCs/>
          <w:color w:val="555555"/>
          <w:sz w:val="24"/>
          <w:szCs w:val="24"/>
          <w:lang w:eastAsia="bg-BG"/>
        </w:rPr>
        <w:t xml:space="preserve">Закона за ограничаване плащанията в брой </w:t>
      </w:r>
      <w:r w:rsidRPr="001436D0">
        <w:rPr>
          <w:rFonts w:ascii="Open Sans" w:eastAsia="Times New Roman" w:hAnsi="Open Sans" w:cs="Arial"/>
          <w:color w:val="555555"/>
          <w:sz w:val="24"/>
          <w:szCs w:val="24"/>
          <w:lang w:eastAsia="bg-BG"/>
        </w:rPr>
        <w:t>(ЗОПБ) при изплащане на дивидент, изразявам следното становище:</w:t>
      </w:r>
    </w:p>
    <w:p w:rsidR="001436D0" w:rsidRPr="001436D0" w:rsidRDefault="001436D0" w:rsidP="001436D0">
      <w:pPr>
        <w:spacing w:after="150" w:line="343" w:lineRule="atLeast"/>
        <w:rPr>
          <w:rFonts w:ascii="Open Sans" w:eastAsia="Times New Roman" w:hAnsi="Open Sans" w:cs="Arial"/>
          <w:color w:val="555555"/>
          <w:sz w:val="24"/>
          <w:szCs w:val="24"/>
          <w:lang w:eastAsia="bg-BG"/>
        </w:rPr>
      </w:pPr>
      <w:r w:rsidRPr="001436D0">
        <w:rPr>
          <w:rFonts w:ascii="Open Sans" w:eastAsia="Times New Roman" w:hAnsi="Open Sans" w:cs="Arial"/>
          <w:color w:val="555555"/>
          <w:sz w:val="24"/>
          <w:szCs w:val="24"/>
          <w:lang w:eastAsia="bg-BG"/>
        </w:rPr>
        <w:t>Съгласно разпоредбата на чл. 3, ал. 1, т. 1 и т. 2 от ЗОПБ плащанията на територията на страната се извършват само чрез превод или внасяне по платежна сметка, когато са:</w:t>
      </w:r>
    </w:p>
    <w:p w:rsidR="001436D0" w:rsidRPr="001436D0" w:rsidRDefault="001436D0" w:rsidP="001436D0">
      <w:pPr>
        <w:spacing w:after="150" w:line="343" w:lineRule="atLeast"/>
        <w:rPr>
          <w:rFonts w:ascii="Open Sans" w:eastAsia="Times New Roman" w:hAnsi="Open Sans" w:cs="Arial"/>
          <w:color w:val="555555"/>
          <w:sz w:val="24"/>
          <w:szCs w:val="24"/>
          <w:lang w:eastAsia="bg-BG"/>
        </w:rPr>
      </w:pPr>
      <w:r w:rsidRPr="001436D0">
        <w:rPr>
          <w:rFonts w:ascii="Open Sans" w:eastAsia="Times New Roman" w:hAnsi="Open Sans" w:cs="Arial"/>
          <w:color w:val="555555"/>
          <w:sz w:val="24"/>
          <w:szCs w:val="24"/>
          <w:lang w:eastAsia="bg-BG"/>
        </w:rPr>
        <w:t>– на стойност, равна на или надвишаваща 10 000 лв.;</w:t>
      </w:r>
    </w:p>
    <w:p w:rsidR="001436D0" w:rsidRPr="001436D0" w:rsidRDefault="001436D0" w:rsidP="001436D0">
      <w:pPr>
        <w:spacing w:after="150" w:line="343" w:lineRule="atLeast"/>
        <w:rPr>
          <w:rFonts w:ascii="Open Sans" w:eastAsia="Times New Roman" w:hAnsi="Open Sans" w:cs="Arial"/>
          <w:color w:val="555555"/>
          <w:sz w:val="24"/>
          <w:szCs w:val="24"/>
          <w:lang w:eastAsia="bg-BG"/>
        </w:rPr>
      </w:pPr>
      <w:r w:rsidRPr="001436D0">
        <w:rPr>
          <w:rFonts w:ascii="Open Sans" w:eastAsia="Times New Roman" w:hAnsi="Open Sans" w:cs="Arial"/>
          <w:color w:val="555555"/>
          <w:sz w:val="24"/>
          <w:szCs w:val="24"/>
          <w:lang w:eastAsia="bg-BG"/>
        </w:rPr>
        <w:t>– на стойност под 10 000 лв., но могат да се разглеждат като част от свързани помежду си платежни операции на едно и също основание, чиято обща стойност е равна на или надвишава 10 000 лв.</w:t>
      </w:r>
    </w:p>
    <w:p w:rsidR="001436D0" w:rsidRPr="001436D0" w:rsidRDefault="001436D0" w:rsidP="001436D0">
      <w:pPr>
        <w:spacing w:after="150" w:line="343" w:lineRule="atLeast"/>
        <w:rPr>
          <w:rFonts w:ascii="Open Sans" w:eastAsia="Times New Roman" w:hAnsi="Open Sans" w:cs="Arial"/>
          <w:color w:val="555555"/>
          <w:sz w:val="24"/>
          <w:szCs w:val="24"/>
          <w:lang w:eastAsia="bg-BG"/>
        </w:rPr>
      </w:pPr>
      <w:r w:rsidRPr="001436D0">
        <w:rPr>
          <w:rFonts w:ascii="Open Sans" w:eastAsia="Times New Roman" w:hAnsi="Open Sans" w:cs="Arial"/>
          <w:color w:val="555555"/>
          <w:sz w:val="24"/>
          <w:szCs w:val="24"/>
          <w:lang w:eastAsia="bg-BG"/>
        </w:rPr>
        <w:t xml:space="preserve">Отношенията, свързани с правото на вземане на дивидент от съдружник/акционер, възникват в резултат на сложен фактически състав, т.е. при изпълнението на определените в </w:t>
      </w:r>
      <w:r w:rsidRPr="001436D0">
        <w:rPr>
          <w:rFonts w:ascii="Open Sans" w:eastAsia="Times New Roman" w:hAnsi="Open Sans" w:cs="Arial"/>
          <w:b/>
          <w:bCs/>
          <w:i/>
          <w:iCs/>
          <w:color w:val="555555"/>
          <w:sz w:val="24"/>
          <w:szCs w:val="24"/>
          <w:lang w:eastAsia="bg-BG"/>
        </w:rPr>
        <w:t xml:space="preserve">Търговския закон </w:t>
      </w:r>
      <w:r w:rsidRPr="001436D0">
        <w:rPr>
          <w:rFonts w:ascii="Open Sans" w:eastAsia="Times New Roman" w:hAnsi="Open Sans" w:cs="Arial"/>
          <w:color w:val="555555"/>
          <w:sz w:val="24"/>
          <w:szCs w:val="24"/>
          <w:lang w:eastAsia="bg-BG"/>
        </w:rPr>
        <w:t>(ТЗ) предпоставки. Дивидентът е доход, който се изплаща на съдружниците или акционерите в търговското дружество, като вземането на решение за разпределянето му е в компетенциите на общото събрание.</w:t>
      </w:r>
    </w:p>
    <w:p w:rsidR="001436D0" w:rsidRPr="001436D0" w:rsidRDefault="001436D0" w:rsidP="001436D0">
      <w:pPr>
        <w:spacing w:after="150" w:line="343" w:lineRule="atLeast"/>
        <w:rPr>
          <w:rFonts w:ascii="Open Sans" w:eastAsia="Times New Roman" w:hAnsi="Open Sans" w:cs="Arial"/>
          <w:color w:val="555555"/>
          <w:sz w:val="24"/>
          <w:szCs w:val="24"/>
          <w:lang w:eastAsia="bg-BG"/>
        </w:rPr>
      </w:pPr>
      <w:r w:rsidRPr="001436D0">
        <w:rPr>
          <w:rFonts w:ascii="Open Sans" w:eastAsia="Times New Roman" w:hAnsi="Open Sans" w:cs="Arial"/>
          <w:color w:val="555555"/>
          <w:sz w:val="24"/>
          <w:szCs w:val="24"/>
          <w:lang w:eastAsia="bg-BG"/>
        </w:rPr>
        <w:t xml:space="preserve">В случай че съдружниците решат да разпределят дивидент, при неговото изплащане трябва да се съобразят и с изискванията на ЗОПБ. Ако размерът на дивидента е сума, която е равна или надхвърля ограничението от 10 000 лева, предвидено в ЗОПБ, </w:t>
      </w:r>
      <w:r w:rsidRPr="001436D0">
        <w:rPr>
          <w:rFonts w:ascii="Open Sans" w:eastAsia="Times New Roman" w:hAnsi="Open Sans" w:cs="Arial"/>
          <w:color w:val="555555"/>
          <w:sz w:val="24"/>
          <w:szCs w:val="24"/>
          <w:lang w:eastAsia="bg-BG"/>
        </w:rPr>
        <w:lastRenderedPageBreak/>
        <w:t>изплащането следва да се извърши по банков път или чрез вноска по сметката. Това е описано и в т. IV. 6. от Указание на Министерство на финансите (УК – 3 от 04.04.2011 г.) относно прилагането на ЗОПБ, в което се казва, че чл. 3, ал. 1, т. 1 важи и за изплащането на дивиденти.</w:t>
      </w:r>
    </w:p>
    <w:p w:rsidR="001436D0" w:rsidRPr="001436D0" w:rsidRDefault="001436D0" w:rsidP="001436D0">
      <w:pPr>
        <w:spacing w:after="150" w:line="343" w:lineRule="atLeast"/>
        <w:rPr>
          <w:rFonts w:ascii="Open Sans" w:eastAsia="Times New Roman" w:hAnsi="Open Sans" w:cs="Arial"/>
          <w:color w:val="555555"/>
          <w:sz w:val="24"/>
          <w:szCs w:val="24"/>
          <w:lang w:eastAsia="bg-BG"/>
        </w:rPr>
      </w:pPr>
      <w:r w:rsidRPr="001436D0">
        <w:rPr>
          <w:rFonts w:ascii="Open Sans" w:eastAsia="Times New Roman" w:hAnsi="Open Sans" w:cs="Arial"/>
          <w:color w:val="555555"/>
          <w:sz w:val="24"/>
          <w:szCs w:val="24"/>
          <w:lang w:eastAsia="bg-BG"/>
        </w:rPr>
        <w:t>Освен това в Указанието е даден пример, свързан с изплащането на дивидент на съдружник повече от един път в годината, чиято обща стойност е, например 30 000 лева. В случай че за всяко едно от плащанията има изготвен протокол – решение на съдружниците и сумата на всяко едно от тези плащания (предвидена в съответното решение на общото събрание) е под законовоопределения размер, то всяко едно от плащанията на дивидент не би следвало да се разглежда като част от свързани помежду си платежни операции на едно и също основание, доколкото всяко едно от плащанията се основава на отделно решение на общото събрание на съдружниците.</w:t>
      </w:r>
    </w:p>
    <w:p w:rsidR="001436D0" w:rsidRPr="001436D0" w:rsidRDefault="001436D0" w:rsidP="001436D0">
      <w:pPr>
        <w:spacing w:after="150" w:line="343" w:lineRule="atLeast"/>
        <w:rPr>
          <w:rFonts w:ascii="Open Sans" w:eastAsia="Times New Roman" w:hAnsi="Open Sans" w:cs="Arial"/>
          <w:b/>
          <w:i/>
          <w:color w:val="555555"/>
          <w:sz w:val="28"/>
          <w:szCs w:val="28"/>
          <w:lang w:eastAsia="bg-BG"/>
        </w:rPr>
      </w:pPr>
      <w:r w:rsidRPr="001436D0">
        <w:rPr>
          <w:rFonts w:ascii="Open Sans" w:eastAsia="Times New Roman" w:hAnsi="Open Sans" w:cs="Arial"/>
          <w:b/>
          <w:i/>
          <w:color w:val="555555"/>
          <w:sz w:val="28"/>
          <w:szCs w:val="28"/>
          <w:lang w:eastAsia="bg-BG"/>
        </w:rPr>
        <w:t>Предвид изложеното, следва да се приеме, че общата сума на дивидентите, изплатени на всички съдружници, е правно ирелевантна по отношение приложението на чл. 3,  ал. 1 от ЗОПБ. Казано с други думи, в случаите когато общата сума на дивидентите, изплатени на всички съдружници надвишава 10 000 лв., но спрямо конкретен съдружник, размерът на изплатения му дивидент, определен съгласно дяловото му участие, по силата на отделно решение на общото събрание на съдружниците е в размер по-малък от 10 000 лв., нормата на чл. 3, ал. 1 от ЗОПБ не следва да намери приложение. Това е така, тъй като за да намери приложение разпоредбата на чл. 3, ал. 1, т. 2 от ЗОПБ е необходимо размерът на изплатения дивидент да е част от обща престация, дължима към конкретно лице.</w:t>
      </w:r>
    </w:p>
    <w:p w:rsidR="001436D0" w:rsidRPr="001436D0" w:rsidRDefault="001436D0" w:rsidP="001436D0">
      <w:pPr>
        <w:spacing w:after="150" w:line="343" w:lineRule="atLeast"/>
        <w:rPr>
          <w:rFonts w:ascii="Open Sans" w:eastAsia="Times New Roman" w:hAnsi="Open Sans" w:cs="Arial"/>
          <w:color w:val="555555"/>
          <w:sz w:val="24"/>
          <w:szCs w:val="24"/>
          <w:lang w:eastAsia="bg-BG"/>
        </w:rPr>
      </w:pPr>
      <w:r w:rsidRPr="001436D0">
        <w:rPr>
          <w:rFonts w:ascii="Open Sans" w:eastAsia="Times New Roman" w:hAnsi="Open Sans" w:cs="Arial"/>
          <w:b/>
          <w:bCs/>
          <w:color w:val="555555"/>
          <w:sz w:val="24"/>
          <w:szCs w:val="24"/>
          <w:lang w:eastAsia="bg-BG"/>
        </w:rPr>
        <w:t xml:space="preserve">                            </w:t>
      </w:r>
    </w:p>
    <w:p w:rsidR="001436D0" w:rsidRPr="001436D0" w:rsidRDefault="001436D0" w:rsidP="001436D0">
      <w:pPr>
        <w:spacing w:after="150" w:line="343" w:lineRule="atLeast"/>
        <w:rPr>
          <w:rFonts w:ascii="Open Sans" w:eastAsia="Times New Roman" w:hAnsi="Open Sans" w:cs="Arial"/>
          <w:color w:val="555555"/>
          <w:sz w:val="24"/>
          <w:szCs w:val="24"/>
          <w:lang w:eastAsia="bg-BG"/>
        </w:rPr>
      </w:pPr>
      <w:r w:rsidRPr="001436D0">
        <w:rPr>
          <w:rFonts w:ascii="Open Sans" w:eastAsia="Times New Roman" w:hAnsi="Open Sans" w:cs="Arial"/>
          <w:b/>
          <w:bCs/>
          <w:color w:val="555555"/>
          <w:sz w:val="24"/>
          <w:szCs w:val="24"/>
          <w:lang w:eastAsia="bg-BG"/>
        </w:rPr>
        <w:t xml:space="preserve">                                                </w:t>
      </w:r>
    </w:p>
    <w:p w:rsidR="001436D0" w:rsidRPr="001436D0" w:rsidRDefault="001436D0" w:rsidP="001436D0">
      <w:pPr>
        <w:spacing w:after="150" w:line="343" w:lineRule="atLeast"/>
        <w:rPr>
          <w:rFonts w:ascii="Open Sans" w:eastAsia="Times New Roman" w:hAnsi="Open Sans" w:cs="Arial"/>
          <w:color w:val="555555"/>
          <w:sz w:val="24"/>
          <w:szCs w:val="24"/>
          <w:lang w:eastAsia="bg-BG"/>
        </w:rPr>
      </w:pPr>
      <w:r w:rsidRPr="001436D0">
        <w:rPr>
          <w:rFonts w:ascii="Open Sans" w:eastAsia="Times New Roman" w:hAnsi="Open Sans" w:cs="Arial"/>
          <w:b/>
          <w:bCs/>
          <w:color w:val="555555"/>
          <w:sz w:val="24"/>
          <w:szCs w:val="24"/>
          <w:lang w:eastAsia="bg-BG"/>
        </w:rPr>
        <w:t>         </w:t>
      </w:r>
      <w:bookmarkStart w:id="0" w:name="_GoBack"/>
      <w:bookmarkEnd w:id="0"/>
      <w:r w:rsidRPr="001436D0">
        <w:rPr>
          <w:rFonts w:ascii="Open Sans" w:eastAsia="Times New Roman" w:hAnsi="Open Sans" w:cs="Arial"/>
          <w:b/>
          <w:bCs/>
          <w:color w:val="555555"/>
          <w:sz w:val="24"/>
          <w:szCs w:val="24"/>
          <w:lang w:eastAsia="bg-BG"/>
        </w:rPr>
        <w:t xml:space="preserve">               ЗАМ. ИЗПЪЛНИТЕЛЕН ДИРЕКТОР НА НАП:</w:t>
      </w:r>
    </w:p>
    <w:p w:rsidR="001436D0" w:rsidRPr="001436D0" w:rsidRDefault="001436D0" w:rsidP="001436D0">
      <w:pPr>
        <w:spacing w:after="150" w:line="343" w:lineRule="atLeast"/>
        <w:rPr>
          <w:rFonts w:ascii="Open Sans" w:eastAsia="Times New Roman" w:hAnsi="Open Sans" w:cs="Arial"/>
          <w:color w:val="555555"/>
          <w:sz w:val="24"/>
          <w:szCs w:val="24"/>
          <w:lang w:eastAsia="bg-BG"/>
        </w:rPr>
      </w:pPr>
      <w:r w:rsidRPr="001436D0">
        <w:rPr>
          <w:rFonts w:ascii="Open Sans" w:eastAsia="Times New Roman" w:hAnsi="Open Sans" w:cs="Arial"/>
          <w:b/>
          <w:bCs/>
          <w:color w:val="555555"/>
          <w:sz w:val="24"/>
          <w:szCs w:val="24"/>
          <w:lang w:eastAsia="bg-BG"/>
        </w:rPr>
        <w:t>                                                                                                /ПЛАМЕН ДИМИТРОВ/</w:t>
      </w:r>
    </w:p>
    <w:p w:rsidR="000C11A0" w:rsidRDefault="000C11A0"/>
    <w:sectPr w:rsidR="000C11A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Open Sans">
    <w:altName w:val="Times New Roman"/>
    <w:charset w:val="00"/>
    <w:family w:val="auto"/>
    <w:pitch w:val="default"/>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751"/>
    <w:rsid w:val="000C11A0"/>
    <w:rsid w:val="001436D0"/>
    <w:rsid w:val="001B0751"/>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1436D0"/>
    <w:pPr>
      <w:spacing w:before="300" w:after="150" w:line="557" w:lineRule="atLeast"/>
      <w:outlineLvl w:val="1"/>
    </w:pPr>
    <w:rPr>
      <w:rFonts w:ascii="Open Sans" w:eastAsia="Times New Roman" w:hAnsi="Open Sans" w:cs="Times New Roman"/>
      <w:sz w:val="39"/>
      <w:szCs w:val="39"/>
      <w:lan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436D0"/>
    <w:rPr>
      <w:rFonts w:ascii="Open Sans" w:eastAsia="Times New Roman" w:hAnsi="Open Sans" w:cs="Times New Roman"/>
      <w:sz w:val="39"/>
      <w:szCs w:val="39"/>
      <w:lang w:eastAsia="bg-BG"/>
    </w:rPr>
  </w:style>
  <w:style w:type="character" w:styleId="Strong">
    <w:name w:val="Strong"/>
    <w:basedOn w:val="DefaultParagraphFont"/>
    <w:uiPriority w:val="22"/>
    <w:qFormat/>
    <w:rsid w:val="001436D0"/>
    <w:rPr>
      <w:b/>
      <w:bCs/>
    </w:rPr>
  </w:style>
  <w:style w:type="paragraph" w:styleId="NormalWeb">
    <w:name w:val="Normal (Web)"/>
    <w:basedOn w:val="Normal"/>
    <w:uiPriority w:val="99"/>
    <w:semiHidden/>
    <w:unhideWhenUsed/>
    <w:rsid w:val="001436D0"/>
    <w:pPr>
      <w:spacing w:after="150" w:line="240" w:lineRule="auto"/>
    </w:pPr>
    <w:rPr>
      <w:rFonts w:ascii="Times New Roman" w:eastAsia="Times New Roman" w:hAnsi="Times New Roman" w:cs="Times New Roman"/>
      <w:sz w:val="24"/>
      <w:szCs w:val="24"/>
      <w:lang w:eastAsia="bg-BG"/>
    </w:rPr>
  </w:style>
  <w:style w:type="character" w:styleId="Emphasis">
    <w:name w:val="Emphasis"/>
    <w:basedOn w:val="DefaultParagraphFont"/>
    <w:uiPriority w:val="20"/>
    <w:qFormat/>
    <w:rsid w:val="001436D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1436D0"/>
    <w:pPr>
      <w:spacing w:before="300" w:after="150" w:line="557" w:lineRule="atLeast"/>
      <w:outlineLvl w:val="1"/>
    </w:pPr>
    <w:rPr>
      <w:rFonts w:ascii="Open Sans" w:eastAsia="Times New Roman" w:hAnsi="Open Sans" w:cs="Times New Roman"/>
      <w:sz w:val="39"/>
      <w:szCs w:val="39"/>
      <w:lan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436D0"/>
    <w:rPr>
      <w:rFonts w:ascii="Open Sans" w:eastAsia="Times New Roman" w:hAnsi="Open Sans" w:cs="Times New Roman"/>
      <w:sz w:val="39"/>
      <w:szCs w:val="39"/>
      <w:lang w:eastAsia="bg-BG"/>
    </w:rPr>
  </w:style>
  <w:style w:type="character" w:styleId="Strong">
    <w:name w:val="Strong"/>
    <w:basedOn w:val="DefaultParagraphFont"/>
    <w:uiPriority w:val="22"/>
    <w:qFormat/>
    <w:rsid w:val="001436D0"/>
    <w:rPr>
      <w:b/>
      <w:bCs/>
    </w:rPr>
  </w:style>
  <w:style w:type="paragraph" w:styleId="NormalWeb">
    <w:name w:val="Normal (Web)"/>
    <w:basedOn w:val="Normal"/>
    <w:uiPriority w:val="99"/>
    <w:semiHidden/>
    <w:unhideWhenUsed/>
    <w:rsid w:val="001436D0"/>
    <w:pPr>
      <w:spacing w:after="150" w:line="240" w:lineRule="auto"/>
    </w:pPr>
    <w:rPr>
      <w:rFonts w:ascii="Times New Roman" w:eastAsia="Times New Roman" w:hAnsi="Times New Roman" w:cs="Times New Roman"/>
      <w:sz w:val="24"/>
      <w:szCs w:val="24"/>
      <w:lang w:eastAsia="bg-BG"/>
    </w:rPr>
  </w:style>
  <w:style w:type="character" w:styleId="Emphasis">
    <w:name w:val="Emphasis"/>
    <w:basedOn w:val="DefaultParagraphFont"/>
    <w:uiPriority w:val="20"/>
    <w:qFormat/>
    <w:rsid w:val="001436D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2291394">
      <w:bodyDiv w:val="1"/>
      <w:marLeft w:val="0"/>
      <w:marRight w:val="0"/>
      <w:marTop w:val="0"/>
      <w:marBottom w:val="0"/>
      <w:divBdr>
        <w:top w:val="none" w:sz="0" w:space="0" w:color="auto"/>
        <w:left w:val="none" w:sz="0" w:space="0" w:color="auto"/>
        <w:bottom w:val="none" w:sz="0" w:space="0" w:color="auto"/>
        <w:right w:val="none" w:sz="0" w:space="0" w:color="auto"/>
      </w:divBdr>
      <w:divsChild>
        <w:div w:id="316424037">
          <w:marLeft w:val="0"/>
          <w:marRight w:val="0"/>
          <w:marTop w:val="0"/>
          <w:marBottom w:val="0"/>
          <w:divBdr>
            <w:top w:val="none" w:sz="0" w:space="0" w:color="auto"/>
            <w:left w:val="none" w:sz="0" w:space="0" w:color="auto"/>
            <w:bottom w:val="none" w:sz="0" w:space="0" w:color="auto"/>
            <w:right w:val="none" w:sz="0" w:space="0" w:color="auto"/>
          </w:divBdr>
          <w:divsChild>
            <w:div w:id="817183382">
              <w:marLeft w:val="0"/>
              <w:marRight w:val="0"/>
              <w:marTop w:val="0"/>
              <w:marBottom w:val="0"/>
              <w:divBdr>
                <w:top w:val="none" w:sz="0" w:space="0" w:color="auto"/>
                <w:left w:val="none" w:sz="0" w:space="0" w:color="auto"/>
                <w:bottom w:val="none" w:sz="0" w:space="0" w:color="auto"/>
                <w:right w:val="none" w:sz="0" w:space="0" w:color="auto"/>
              </w:divBdr>
              <w:divsChild>
                <w:div w:id="943265181">
                  <w:marLeft w:val="0"/>
                  <w:marRight w:val="0"/>
                  <w:marTop w:val="0"/>
                  <w:marBottom w:val="0"/>
                  <w:divBdr>
                    <w:top w:val="none" w:sz="0" w:space="0" w:color="auto"/>
                    <w:left w:val="none" w:sz="0" w:space="0" w:color="auto"/>
                    <w:bottom w:val="none" w:sz="0" w:space="0" w:color="auto"/>
                    <w:right w:val="none" w:sz="0" w:space="0" w:color="auto"/>
                  </w:divBdr>
                  <w:divsChild>
                    <w:div w:id="1286353635">
                      <w:marLeft w:val="0"/>
                      <w:marRight w:val="0"/>
                      <w:marTop w:val="0"/>
                      <w:marBottom w:val="0"/>
                      <w:divBdr>
                        <w:top w:val="none" w:sz="0" w:space="0" w:color="auto"/>
                        <w:left w:val="none" w:sz="0" w:space="0" w:color="auto"/>
                        <w:bottom w:val="none" w:sz="0" w:space="0" w:color="auto"/>
                        <w:right w:val="none" w:sz="0" w:space="0" w:color="auto"/>
                      </w:divBdr>
                      <w:divsChild>
                        <w:div w:id="1897466382">
                          <w:marLeft w:val="0"/>
                          <w:marRight w:val="0"/>
                          <w:marTop w:val="0"/>
                          <w:marBottom w:val="0"/>
                          <w:divBdr>
                            <w:top w:val="none" w:sz="0" w:space="0" w:color="auto"/>
                            <w:left w:val="none" w:sz="0" w:space="0" w:color="auto"/>
                            <w:bottom w:val="none" w:sz="0" w:space="0" w:color="auto"/>
                            <w:right w:val="none" w:sz="0" w:space="0" w:color="auto"/>
                          </w:divBdr>
                          <w:divsChild>
                            <w:div w:id="1268848034">
                              <w:marLeft w:val="0"/>
                              <w:marRight w:val="0"/>
                              <w:marTop w:val="0"/>
                              <w:marBottom w:val="0"/>
                              <w:divBdr>
                                <w:top w:val="none" w:sz="0" w:space="0" w:color="auto"/>
                                <w:left w:val="none" w:sz="0" w:space="0" w:color="auto"/>
                                <w:bottom w:val="none" w:sz="0" w:space="0" w:color="auto"/>
                                <w:right w:val="none" w:sz="0" w:space="0" w:color="auto"/>
                              </w:divBdr>
                              <w:divsChild>
                                <w:div w:id="636104195">
                                  <w:marLeft w:val="0"/>
                                  <w:marRight w:val="0"/>
                                  <w:marTop w:val="0"/>
                                  <w:marBottom w:val="0"/>
                                  <w:divBdr>
                                    <w:top w:val="none" w:sz="0" w:space="0" w:color="auto"/>
                                    <w:left w:val="none" w:sz="0" w:space="0" w:color="auto"/>
                                    <w:bottom w:val="none" w:sz="0" w:space="0" w:color="auto"/>
                                    <w:right w:val="none" w:sz="0" w:space="0" w:color="auto"/>
                                  </w:divBdr>
                                  <w:divsChild>
                                    <w:div w:id="1634211209">
                                      <w:marLeft w:val="0"/>
                                      <w:marRight w:val="0"/>
                                      <w:marTop w:val="0"/>
                                      <w:marBottom w:val="0"/>
                                      <w:divBdr>
                                        <w:top w:val="none" w:sz="0" w:space="0" w:color="auto"/>
                                        <w:left w:val="none" w:sz="0" w:space="0" w:color="auto"/>
                                        <w:bottom w:val="none" w:sz="0" w:space="0" w:color="auto"/>
                                        <w:right w:val="none" w:sz="0" w:space="0" w:color="auto"/>
                                      </w:divBdr>
                                      <w:divsChild>
                                        <w:div w:id="774057619">
                                          <w:marLeft w:val="0"/>
                                          <w:marRight w:val="0"/>
                                          <w:marTop w:val="0"/>
                                          <w:marBottom w:val="0"/>
                                          <w:divBdr>
                                            <w:top w:val="none" w:sz="0" w:space="0" w:color="auto"/>
                                            <w:left w:val="none" w:sz="0" w:space="0" w:color="auto"/>
                                            <w:bottom w:val="none" w:sz="0" w:space="0" w:color="auto"/>
                                            <w:right w:val="none" w:sz="0" w:space="0" w:color="auto"/>
                                          </w:divBdr>
                                          <w:divsChild>
                                            <w:div w:id="185871771">
                                              <w:marLeft w:val="0"/>
                                              <w:marRight w:val="0"/>
                                              <w:marTop w:val="0"/>
                                              <w:marBottom w:val="0"/>
                                              <w:divBdr>
                                                <w:top w:val="none" w:sz="0" w:space="0" w:color="auto"/>
                                                <w:left w:val="none" w:sz="0" w:space="0" w:color="auto"/>
                                                <w:bottom w:val="none" w:sz="0" w:space="0" w:color="auto"/>
                                                <w:right w:val="none" w:sz="0" w:space="0" w:color="auto"/>
                                              </w:divBdr>
                                              <w:divsChild>
                                                <w:div w:id="1347250477">
                                                  <w:marLeft w:val="0"/>
                                                  <w:marRight w:val="0"/>
                                                  <w:marTop w:val="0"/>
                                                  <w:marBottom w:val="0"/>
                                                  <w:divBdr>
                                                    <w:top w:val="none" w:sz="0" w:space="0" w:color="auto"/>
                                                    <w:left w:val="none" w:sz="0" w:space="0" w:color="auto"/>
                                                    <w:bottom w:val="none" w:sz="0" w:space="0" w:color="auto"/>
                                                    <w:right w:val="none" w:sz="0" w:space="0" w:color="auto"/>
                                                  </w:divBdr>
                                                  <w:divsChild>
                                                    <w:div w:id="695277835">
                                                      <w:marLeft w:val="0"/>
                                                      <w:marRight w:val="0"/>
                                                      <w:marTop w:val="0"/>
                                                      <w:marBottom w:val="0"/>
                                                      <w:divBdr>
                                                        <w:top w:val="none" w:sz="0" w:space="0" w:color="auto"/>
                                                        <w:left w:val="none" w:sz="0" w:space="0" w:color="auto"/>
                                                        <w:bottom w:val="none" w:sz="0" w:space="0" w:color="auto"/>
                                                        <w:right w:val="none" w:sz="0" w:space="0" w:color="auto"/>
                                                      </w:divBdr>
                                                      <w:divsChild>
                                                        <w:div w:id="1761365455">
                                                          <w:marLeft w:val="0"/>
                                                          <w:marRight w:val="0"/>
                                                          <w:marTop w:val="0"/>
                                                          <w:marBottom w:val="0"/>
                                                          <w:divBdr>
                                                            <w:top w:val="none" w:sz="0" w:space="0" w:color="auto"/>
                                                            <w:left w:val="none" w:sz="0" w:space="0" w:color="auto"/>
                                                            <w:bottom w:val="none" w:sz="0" w:space="0" w:color="auto"/>
                                                            <w:right w:val="none" w:sz="0" w:space="0" w:color="auto"/>
                                                          </w:divBdr>
                                                          <w:divsChild>
                                                            <w:div w:id="1329749321">
                                                              <w:marLeft w:val="0"/>
                                                              <w:marRight w:val="0"/>
                                                              <w:marTop w:val="0"/>
                                                              <w:marBottom w:val="0"/>
                                                              <w:divBdr>
                                                                <w:top w:val="none" w:sz="0" w:space="0" w:color="auto"/>
                                                                <w:left w:val="none" w:sz="0" w:space="0" w:color="auto"/>
                                                                <w:bottom w:val="none" w:sz="0" w:space="0" w:color="auto"/>
                                                                <w:right w:val="none" w:sz="0" w:space="0" w:color="auto"/>
                                                              </w:divBdr>
                                                              <w:divsChild>
                                                                <w:div w:id="634681711">
                                                                  <w:marLeft w:val="0"/>
                                                                  <w:marRight w:val="0"/>
                                                                  <w:marTop w:val="0"/>
                                                                  <w:marBottom w:val="0"/>
                                                                  <w:divBdr>
                                                                    <w:top w:val="none" w:sz="0" w:space="0" w:color="auto"/>
                                                                    <w:left w:val="none" w:sz="0" w:space="0" w:color="auto"/>
                                                                    <w:bottom w:val="none" w:sz="0" w:space="0" w:color="auto"/>
                                                                    <w:right w:val="none" w:sz="0" w:space="0" w:color="auto"/>
                                                                  </w:divBdr>
                                                                  <w:divsChild>
                                                                    <w:div w:id="1171526488">
                                                                      <w:marLeft w:val="0"/>
                                                                      <w:marRight w:val="0"/>
                                                                      <w:marTop w:val="0"/>
                                                                      <w:marBottom w:val="0"/>
                                                                      <w:divBdr>
                                                                        <w:top w:val="none" w:sz="0" w:space="0" w:color="auto"/>
                                                                        <w:left w:val="none" w:sz="0" w:space="0" w:color="auto"/>
                                                                        <w:bottom w:val="none" w:sz="0" w:space="0" w:color="auto"/>
                                                                        <w:right w:val="none" w:sz="0" w:space="0" w:color="auto"/>
                                                                      </w:divBdr>
                                                                      <w:divsChild>
                                                                        <w:div w:id="876233461">
                                                                          <w:marLeft w:val="0"/>
                                                                          <w:marRight w:val="0"/>
                                                                          <w:marTop w:val="0"/>
                                                                          <w:marBottom w:val="0"/>
                                                                          <w:divBdr>
                                                                            <w:top w:val="none" w:sz="0" w:space="0" w:color="auto"/>
                                                                            <w:left w:val="none" w:sz="0" w:space="0" w:color="auto"/>
                                                                            <w:bottom w:val="none" w:sz="0" w:space="0" w:color="auto"/>
                                                                            <w:right w:val="none" w:sz="0" w:space="0" w:color="auto"/>
                                                                          </w:divBdr>
                                                                          <w:divsChild>
                                                                            <w:div w:id="1293049339">
                                                                              <w:marLeft w:val="0"/>
                                                                              <w:marRight w:val="0"/>
                                                                              <w:marTop w:val="0"/>
                                                                              <w:marBottom w:val="0"/>
                                                                              <w:divBdr>
                                                                                <w:top w:val="none" w:sz="0" w:space="0" w:color="auto"/>
                                                                                <w:left w:val="none" w:sz="0" w:space="0" w:color="auto"/>
                                                                                <w:bottom w:val="none" w:sz="0" w:space="0" w:color="auto"/>
                                                                                <w:right w:val="none" w:sz="0" w:space="0" w:color="auto"/>
                                                                              </w:divBdr>
                                                                              <w:divsChild>
                                                                                <w:div w:id="1669942509">
                                                                                  <w:marLeft w:val="0"/>
                                                                                  <w:marRight w:val="0"/>
                                                                                  <w:marTop w:val="0"/>
                                                                                  <w:marBottom w:val="0"/>
                                                                                  <w:divBdr>
                                                                                    <w:top w:val="none" w:sz="0" w:space="0" w:color="auto"/>
                                                                                    <w:left w:val="none" w:sz="0" w:space="0" w:color="auto"/>
                                                                                    <w:bottom w:val="none" w:sz="0" w:space="0" w:color="auto"/>
                                                                                    <w:right w:val="none" w:sz="0" w:space="0" w:color="auto"/>
                                                                                  </w:divBdr>
                                                                                  <w:divsChild>
                                                                                    <w:div w:id="1928032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621632">
                                                                              <w:marLeft w:val="0"/>
                                                                              <w:marRight w:val="0"/>
                                                                              <w:marTop w:val="0"/>
                                                                              <w:marBottom w:val="0"/>
                                                                              <w:divBdr>
                                                                                <w:top w:val="none" w:sz="0" w:space="0" w:color="auto"/>
                                                                                <w:left w:val="none" w:sz="0" w:space="0" w:color="auto"/>
                                                                                <w:bottom w:val="none" w:sz="0" w:space="0" w:color="auto"/>
                                                                                <w:right w:val="none" w:sz="0" w:space="0" w:color="auto"/>
                                                                              </w:divBdr>
                                                                              <w:divsChild>
                                                                                <w:div w:id="153030018">
                                                                                  <w:marLeft w:val="0"/>
                                                                                  <w:marRight w:val="0"/>
                                                                                  <w:marTop w:val="0"/>
                                                                                  <w:marBottom w:val="0"/>
                                                                                  <w:divBdr>
                                                                                    <w:top w:val="none" w:sz="0" w:space="0" w:color="auto"/>
                                                                                    <w:left w:val="none" w:sz="0" w:space="0" w:color="auto"/>
                                                                                    <w:bottom w:val="none" w:sz="0" w:space="0" w:color="auto"/>
                                                                                    <w:right w:val="none" w:sz="0" w:space="0" w:color="auto"/>
                                                                                  </w:divBdr>
                                                                                  <w:divsChild>
                                                                                    <w:div w:id="22599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543</Words>
  <Characters>3100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2021-05-25T15:37:00Z</dcterms:created>
  <dcterms:modified xsi:type="dcterms:W3CDTF">2021-05-25T15:39:00Z</dcterms:modified>
</cp:coreProperties>
</file>