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ДВ бр.38 от 1994 г. (в сила от 01.04.1994 г.)</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до 1850,00 лв. - необлагаеми</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1850,01 до 3000,00 - 20% за горницата над 1850,00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3000,01 до 8000,00 - 230,00 лв.+ 24% за горницата над 3000,00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8000,01 до 15000,00 - 1430,00 лв.+28% за горницата над 8000,00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15000,01 до 25000,00 - 3390,00 лв.+32% за горницата над 15000,00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25000,01 до 50000,00 - 6590,00 лв.+36% за горницата над 25000,00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50000,01 до 150000,00 - 15590,00 лв.+40% за горницата над 50000,00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150000,01 до 300000,00 - 55590,00 лв.+45% за горницата над 150000,00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над 300000,00 - 123090,00 лв.+50% за горницата над 300000,00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ДВ бр.59 от 1995 г. (в сила от 01.06.1995 г.)</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до 2500,00 лв. - необлагаеми</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2500,01 до 5000,00 - 18% за горницата над 2500,00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5000,01 до 10000,00 - 450,00 лв.+ 20% за горницата над 5000,00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10000,01 до 20000,00 - 1450,00 лв.+24% за горницата над 10000,00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20000,01 до 40000,00 - 3850,00 лв.+28% за горницата над 20000,00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40000,01 до 80000,00 - 9450,00 лв.+33% за горницата над 40000,00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80000,01 до 160000,00 - 22650,00 лв.+38% за горницата над 80000,00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от 160000,01 до 320000,00 - 53050,00 лв.+44% за горницата над 160000,00 лв.</w:t>
      </w:r>
    </w:p>
    <w:p w:rsidR="00B66A2C" w:rsidRDefault="00B66A2C" w:rsidP="00B66A2C">
      <w:pPr>
        <w:spacing w:after="0" w:line="240" w:lineRule="auto"/>
        <w:rPr>
          <w:rFonts w:ascii="Arial" w:eastAsia="Times New Roman" w:hAnsi="Arial" w:cs="Arial"/>
          <w:color w:val="303030"/>
          <w:sz w:val="21"/>
          <w:szCs w:val="21"/>
          <w:shd w:val="clear" w:color="auto" w:fill="FFFFFF"/>
          <w:lang w:eastAsia="bg-BG"/>
        </w:rPr>
      </w:pPr>
      <w:r w:rsidRPr="00B66A2C">
        <w:rPr>
          <w:rFonts w:ascii="Arial" w:eastAsia="Times New Roman" w:hAnsi="Arial" w:cs="Arial"/>
          <w:color w:val="303030"/>
          <w:sz w:val="21"/>
          <w:szCs w:val="21"/>
          <w:shd w:val="clear" w:color="auto" w:fill="FFFFFF"/>
          <w:lang w:eastAsia="bg-BG"/>
        </w:rPr>
        <w:t>над 320000,00 - 123450,00 лв.+50% за горницата над 320000,00 лв.</w:t>
      </w:r>
    </w:p>
    <w:p w:rsidR="00B66A2C" w:rsidRPr="00B66A2C" w:rsidRDefault="00B66A2C" w:rsidP="00B66A2C">
      <w:pPr>
        <w:spacing w:after="0" w:line="240" w:lineRule="auto"/>
        <w:rPr>
          <w:rFonts w:ascii="Arial" w:eastAsia="Times New Roman" w:hAnsi="Arial" w:cs="Arial"/>
          <w:color w:val="303030"/>
          <w:sz w:val="21"/>
          <w:szCs w:val="21"/>
          <w:shd w:val="clear" w:color="auto" w:fill="FFFFFF"/>
          <w:lang w:eastAsia="bg-BG"/>
        </w:rPr>
      </w:pPr>
    </w:p>
    <w:p w:rsidR="000C5823" w:rsidRPr="000C5823" w:rsidRDefault="000C5823" w:rsidP="000C5823">
      <w:pPr>
        <w:spacing w:before="100" w:beforeAutospacing="1" w:after="100" w:afterAutospacing="1" w:line="240" w:lineRule="auto"/>
        <w:jc w:val="center"/>
        <w:outlineLvl w:val="2"/>
        <w:rPr>
          <w:rFonts w:ascii="Arial" w:eastAsia="Times New Roman" w:hAnsi="Arial" w:cs="Arial"/>
          <w:b/>
          <w:bCs/>
          <w:sz w:val="24"/>
          <w:szCs w:val="24"/>
          <w:lang w:eastAsia="bg-BG"/>
        </w:rPr>
      </w:pPr>
      <w:r w:rsidRPr="000C5823">
        <w:rPr>
          <w:rFonts w:ascii="Arial" w:eastAsia="Times New Roman" w:hAnsi="Arial" w:cs="Arial"/>
          <w:b/>
          <w:bCs/>
          <w:sz w:val="24"/>
          <w:szCs w:val="24"/>
          <w:lang w:eastAsia="bg-BG"/>
        </w:rPr>
        <w:t>ЗАКОН ЗА ДАНЪК ВЪРХУ ОБЩИЯ ДОХОД</w:t>
      </w:r>
    </w:p>
    <w:p w:rsidR="000C5823" w:rsidRPr="000C5823" w:rsidRDefault="000C5823" w:rsidP="000C5823">
      <w:pPr>
        <w:spacing w:before="100" w:beforeAutospacing="1" w:after="100" w:afterAutospacing="1" w:line="240" w:lineRule="auto"/>
        <w:outlineLvl w:val="3"/>
        <w:rPr>
          <w:rFonts w:ascii="Times New Roman" w:eastAsia="Times New Roman" w:hAnsi="Times New Roman" w:cs="Times New Roman"/>
          <w:b/>
          <w:bCs/>
          <w:sz w:val="24"/>
          <w:szCs w:val="24"/>
          <w:lang w:eastAsia="bg-BG"/>
        </w:rPr>
      </w:pPr>
      <w:r w:rsidRPr="000C5823">
        <w:rPr>
          <w:rFonts w:ascii="Times New Roman" w:eastAsia="Times New Roman" w:hAnsi="Times New Roman" w:cs="Times New Roman"/>
          <w:b/>
          <w:bCs/>
          <w:sz w:val="24"/>
          <w:szCs w:val="24"/>
          <w:lang w:eastAsia="bg-BG"/>
        </w:rPr>
        <w:t>ДВ</w:t>
      </w:r>
      <w:r w:rsidRPr="000C5823">
        <w:t xml:space="preserve"> </w:t>
      </w:r>
      <w:r w:rsidRPr="000C5823">
        <w:rPr>
          <w:rFonts w:ascii="Times New Roman" w:eastAsia="Times New Roman" w:hAnsi="Times New Roman" w:cs="Times New Roman"/>
          <w:b/>
          <w:bCs/>
          <w:sz w:val="24"/>
          <w:szCs w:val="24"/>
          <w:lang w:eastAsia="bg-BG"/>
        </w:rPr>
        <w:t>. бр. 59 от 12.07.1996г.</w:t>
      </w:r>
    </w:p>
    <w:p w:rsidR="000C5823" w:rsidRDefault="000C5823" w:rsidP="000C5823">
      <w:pPr>
        <w:pStyle w:val="chlen"/>
      </w:pPr>
      <w:r>
        <w:t xml:space="preserve">Чл. 4. (Изм. - Изв., бр. 15 от 1954 г., бр. 105 от 1962 г., ДВ, бр. 52 от 1966 г., бр. 101 от 1972 г., бр. 53 от 1973 г., бр. 93 от 1979 г., бр. 44 от 1984 г., бр. 79 от 1985 г., бр. 10 от 1990 г., бр. 27 от 1991 г.) (1) (Доп. - ДВ, бр. 23 от 1993 г., бр. 38 от 1994 г.) Лицата, които получават доходи по силата на трудови правоотношения - заплати, надници и приравнени към тях възнаграждения и обезщетения, извън посочените в чл. 2, ал. 1, буква "к", без възстановените суми по реда на чл. 50, ал. 1 от Закона за пенсиите, се облагат по следната таблица: </w:t>
      </w:r>
      <w:r>
        <w:br/>
        <w:t>(Изм. - ДВ, бр. 19 от 1992 г., бр. 23 от 1993 г.,</w:t>
      </w:r>
      <w:r>
        <w:br/>
        <w:t>бр. 38 от 1994 г., бр. 59 от 1995 г., бр. 33 от 1996 г.,</w:t>
      </w:r>
      <w:r>
        <w:br/>
        <w:t>прилага се за доходи, реализирани след 1 април 1996 г.)</w:t>
      </w:r>
    </w:p>
    <w:tbl>
      <w:tblPr>
        <w:tblW w:w="9135" w:type="dxa"/>
        <w:tblCellSpacing w:w="15" w:type="dxa"/>
        <w:tblCellMar>
          <w:top w:w="15" w:type="dxa"/>
          <w:left w:w="15" w:type="dxa"/>
          <w:bottom w:w="15" w:type="dxa"/>
          <w:right w:w="15" w:type="dxa"/>
        </w:tblCellMar>
        <w:tblLook w:val="04A0" w:firstRow="1" w:lastRow="0" w:firstColumn="1" w:lastColumn="0" w:noHBand="0" w:noVBand="1"/>
      </w:tblPr>
      <w:tblGrid>
        <w:gridCol w:w="3356"/>
        <w:gridCol w:w="5779"/>
      </w:tblGrid>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Месечен доход</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Д а н ъ к</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до 3500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необлагаеми</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3500,01 до 4000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18% за горницата над 3500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4000,01 до 5000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90 лв. + 20% за горницата над 4000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5000,01 до 10000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290 лв. + 24% за горницата над 5000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10000,01 до 20000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1490 лв. + 28% за горницата над 10000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20000,01 до 40000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4290 лв. + З2% за горницата над 20000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40000,01 до 80000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10690 лв. + 38% за горницата над 40000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от 80000,01 до 240000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25890 лв. + 44% за горницата над 80000 лв.</w:t>
            </w:r>
          </w:p>
        </w:tc>
      </w:tr>
      <w:tr w:rsidR="000C5823" w:rsidRPr="000C5823" w:rsidTr="000C5823">
        <w:trPr>
          <w:tblCellSpacing w:w="15" w:type="dxa"/>
        </w:trPr>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над 240000 лв.</w:t>
            </w:r>
          </w:p>
        </w:tc>
        <w:tc>
          <w:tcPr>
            <w:tcW w:w="0" w:type="auto"/>
            <w:vAlign w:val="center"/>
            <w:hideMark/>
          </w:tcPr>
          <w:p w:rsidR="000C5823" w:rsidRPr="000C5823" w:rsidRDefault="000C5823" w:rsidP="000C5823">
            <w:pPr>
              <w:spacing w:after="0" w:line="240" w:lineRule="auto"/>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t>96290 лв. + 50% за горницата над 240000 лв.</w:t>
            </w:r>
          </w:p>
        </w:tc>
      </w:tr>
    </w:tbl>
    <w:p w:rsidR="000C5823" w:rsidRDefault="000C5823" w:rsidP="000C5823">
      <w:pPr>
        <w:spacing w:before="100" w:beforeAutospacing="1" w:after="100" w:afterAutospacing="1" w:line="240" w:lineRule="auto"/>
        <w:outlineLvl w:val="3"/>
        <w:rPr>
          <w:rFonts w:ascii="Times New Roman" w:eastAsia="Times New Roman" w:hAnsi="Times New Roman" w:cs="Times New Roman"/>
          <w:sz w:val="24"/>
          <w:szCs w:val="24"/>
          <w:lang w:eastAsia="bg-BG"/>
        </w:rPr>
      </w:pPr>
      <w:r w:rsidRPr="000C5823">
        <w:rPr>
          <w:rFonts w:ascii="Times New Roman" w:eastAsia="Times New Roman" w:hAnsi="Times New Roman" w:cs="Times New Roman"/>
          <w:sz w:val="24"/>
          <w:szCs w:val="24"/>
          <w:lang w:eastAsia="bg-BG"/>
        </w:rPr>
        <w:lastRenderedPageBreak/>
        <w:br/>
        <w:t>(2) (Изм. - ДВ, бр. 38 от 1994 г.) Данъкът се изчислява само за пълен 1,00 лв.</w:t>
      </w:r>
    </w:p>
    <w:p w:rsidR="00B66A2C" w:rsidRDefault="00B66A2C" w:rsidP="00B66A2C">
      <w:pPr>
        <w:rPr>
          <w:b/>
          <w:sz w:val="28"/>
          <w:szCs w:val="28"/>
        </w:rPr>
      </w:pPr>
      <w:r>
        <w:rPr>
          <w:b/>
          <w:sz w:val="28"/>
          <w:szCs w:val="28"/>
        </w:rPr>
        <w:t>1997г.</w:t>
      </w:r>
    </w:p>
    <w:p w:rsidR="00B66A2C" w:rsidRPr="00B66A2C" w:rsidRDefault="00B66A2C" w:rsidP="00B66A2C">
      <w:pPr>
        <w:spacing w:before="100" w:beforeAutospacing="1" w:after="100" w:afterAutospacing="1" w:line="240" w:lineRule="auto"/>
        <w:outlineLvl w:val="0"/>
        <w:rPr>
          <w:rFonts w:ascii="Times New Roman" w:eastAsia="Times New Roman" w:hAnsi="Times New Roman" w:cs="Times New Roman"/>
          <w:b/>
          <w:bCs/>
          <w:kern w:val="36"/>
          <w:sz w:val="28"/>
          <w:szCs w:val="28"/>
          <w:lang w:eastAsia="bg-BG"/>
        </w:rPr>
      </w:pPr>
      <w:r w:rsidRPr="00B66A2C">
        <w:rPr>
          <w:rFonts w:ascii="Times New Roman" w:eastAsia="Times New Roman" w:hAnsi="Times New Roman" w:cs="Times New Roman"/>
          <w:b/>
          <w:bCs/>
          <w:kern w:val="36"/>
          <w:sz w:val="28"/>
          <w:szCs w:val="28"/>
          <w:lang w:eastAsia="bg-BG"/>
        </w:rPr>
        <w:t>ТАБЛИЦА</w:t>
      </w:r>
      <w:r>
        <w:rPr>
          <w:rFonts w:ascii="Times New Roman" w:eastAsia="Times New Roman" w:hAnsi="Times New Roman" w:cs="Times New Roman"/>
          <w:b/>
          <w:bCs/>
          <w:kern w:val="36"/>
          <w:sz w:val="28"/>
          <w:szCs w:val="28"/>
          <w:lang w:eastAsia="bg-BG"/>
        </w:rPr>
        <w:t xml:space="preserve"> </w:t>
      </w:r>
      <w:r w:rsidRPr="00B66A2C">
        <w:rPr>
          <w:rFonts w:ascii="Times New Roman" w:eastAsia="Times New Roman" w:hAnsi="Times New Roman" w:cs="Times New Roman"/>
          <w:b/>
          <w:bCs/>
          <w:kern w:val="36"/>
          <w:sz w:val="28"/>
          <w:szCs w:val="28"/>
          <w:lang w:eastAsia="bg-BG"/>
        </w:rPr>
        <w:t xml:space="preserve"> ПО</w:t>
      </w:r>
      <w:r>
        <w:rPr>
          <w:rFonts w:ascii="Times New Roman" w:eastAsia="Times New Roman" w:hAnsi="Times New Roman" w:cs="Times New Roman"/>
          <w:b/>
          <w:bCs/>
          <w:kern w:val="36"/>
          <w:sz w:val="28"/>
          <w:szCs w:val="28"/>
          <w:lang w:eastAsia="bg-BG"/>
        </w:rPr>
        <w:t xml:space="preserve"> </w:t>
      </w:r>
      <w:r w:rsidRPr="00B66A2C">
        <w:rPr>
          <w:rFonts w:ascii="Times New Roman" w:eastAsia="Times New Roman" w:hAnsi="Times New Roman" w:cs="Times New Roman"/>
          <w:b/>
          <w:bCs/>
          <w:kern w:val="36"/>
          <w:sz w:val="28"/>
          <w:szCs w:val="28"/>
          <w:lang w:eastAsia="bg-BG"/>
        </w:rPr>
        <w:t xml:space="preserve"> ДОД </w:t>
      </w:r>
      <w:r>
        <w:rPr>
          <w:rFonts w:ascii="Times New Roman" w:eastAsia="Times New Roman" w:hAnsi="Times New Roman" w:cs="Times New Roman"/>
          <w:b/>
          <w:bCs/>
          <w:kern w:val="36"/>
          <w:sz w:val="28"/>
          <w:szCs w:val="28"/>
          <w:lang w:eastAsia="bg-BG"/>
        </w:rPr>
        <w:t xml:space="preserve"> </w:t>
      </w:r>
      <w:r w:rsidRPr="00B66A2C">
        <w:rPr>
          <w:rFonts w:ascii="Times New Roman" w:eastAsia="Times New Roman" w:hAnsi="Times New Roman" w:cs="Times New Roman"/>
          <w:b/>
          <w:bCs/>
          <w:kern w:val="36"/>
          <w:sz w:val="28"/>
          <w:szCs w:val="28"/>
          <w:lang w:eastAsia="bg-BG"/>
        </w:rPr>
        <w:t xml:space="preserve">ЗА </w:t>
      </w:r>
      <w:r>
        <w:rPr>
          <w:rFonts w:ascii="Times New Roman" w:eastAsia="Times New Roman" w:hAnsi="Times New Roman" w:cs="Times New Roman"/>
          <w:b/>
          <w:bCs/>
          <w:kern w:val="36"/>
          <w:sz w:val="28"/>
          <w:szCs w:val="28"/>
          <w:lang w:eastAsia="bg-BG"/>
        </w:rPr>
        <w:t xml:space="preserve"> </w:t>
      </w:r>
      <w:r w:rsidRPr="00B66A2C">
        <w:rPr>
          <w:rFonts w:ascii="Times New Roman" w:eastAsia="Times New Roman" w:hAnsi="Times New Roman" w:cs="Times New Roman"/>
          <w:b/>
          <w:bCs/>
          <w:kern w:val="36"/>
          <w:sz w:val="28"/>
          <w:szCs w:val="28"/>
          <w:lang w:eastAsia="bg-BG"/>
        </w:rPr>
        <w:t>1997 г.</w:t>
      </w:r>
    </w:p>
    <w:p w:rsidR="000C5823" w:rsidRPr="00B66A2C" w:rsidRDefault="00B66A2C" w:rsidP="00B66A2C">
      <w:pPr>
        <w:spacing w:before="100" w:beforeAutospacing="1" w:after="100" w:afterAutospacing="1" w:line="240" w:lineRule="auto"/>
        <w:outlineLvl w:val="0"/>
      </w:pPr>
      <w:r>
        <w:t xml:space="preserve">Законът за изменение и допълнение на данъка върху общия доход бе приет от 37 Народно събрание на 13 февруари 1997 г. Според закона от 1 февруари не се облага месечен доход до 25 хил. лв. Необлагаемият годишен минимум за едноличните търговци и лицата с доходи от свободни професии и граждански договори стана 300 000 </w:t>
      </w:r>
      <w:proofErr w:type="spellStart"/>
      <w:r>
        <w:t>лв.Авансовият</w:t>
      </w:r>
      <w:proofErr w:type="spellEnd"/>
      <w:r>
        <w:t xml:space="preserve"> ДОД от 10% се събира, след като доходите превишат 430 000 лв. считано от началото на 1997 г. На тези, които вече им е удържан авансов ДОД за доходи над 60 000 лв. /толкова бе досега ограничението/, сумата ще бъде приспадната при определянето и заплащането на данъка в началото на следващата година. </w:t>
      </w:r>
    </w:p>
    <w:p w:rsidR="000C5823" w:rsidRPr="00A10278" w:rsidRDefault="000C5823" w:rsidP="000C5823">
      <w:pPr>
        <w:spacing w:before="100" w:beforeAutospacing="1" w:after="100" w:afterAutospacing="1"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Чл. 4. (Изм. - Изв., бр. 15 от 1954 г., ДВ, бр. 101 от 1972 г. бр. 44 от 1984., бр. 10 от 1990 г., бр. 27 от 1991 г., бр. 19 от 1992 г., бр. 23 от 1993 г., бр. 38 от 1994 г., бр. 59 от 1995 г., бр. 33 от 1996 г., бр. 16 от 1997 г., бр. 44 от 1997 г.) (1) Лицата, които получават доходи по силата на трудови правоотношения - заплати, надници и приравнения към тях възнаграждения и обезщетения извън посочените в чл. 2, ал. 1, буква "к" без възстановените суми по реда на чл. 50, от Закона за пенсиите, се облагат по следната таблица:</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064"/>
        <w:gridCol w:w="4952"/>
      </w:tblGrid>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Месечен доход</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Данък</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до 50 000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необлагаеми </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50 001 лв. до 60 000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20% за горницата над 50 000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60 001 лв. до 80 000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2 000 лв. + 22% за горницата над 60 000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80 001 лв. до 160 000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6 400 лв. + 24% за горницата над 80 000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160 001 лв. до 320 000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25 600 лв. + 28% за горницата над 160 000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320 001 лв. до 640 000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70 400 лв. + 32% за горницата над 320 000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от 640 001 лв. до 1280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172 800 лв. + 36% за горницата над 640 000 лв.</w:t>
            </w:r>
          </w:p>
        </w:tc>
      </w:tr>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над 1280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403 200 лв. + 40% за горницата над 1280 000 лв.</w:t>
            </w:r>
          </w:p>
        </w:tc>
      </w:tr>
    </w:tbl>
    <w:p w:rsidR="000C5823" w:rsidRPr="00A10278" w:rsidRDefault="000C5823" w:rsidP="000C5823">
      <w:pPr>
        <w:spacing w:before="100" w:beforeAutospacing="1" w:after="100" w:afterAutospacing="1"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 (Изм. - ДВ, бр. 38 от 1994 г., бр. 16 от 1997 г.) Месечният облагаем доход и данъкът се закръглят само на пълен 1,00 лв.</w:t>
      </w:r>
    </w:p>
    <w:p w:rsidR="000C5823" w:rsidRPr="00A10278" w:rsidRDefault="000C5823" w:rsidP="009A687F">
      <w:pPr>
        <w:spacing w:before="100" w:beforeAutospacing="1" w:after="100" w:afterAutospacing="1"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Чл. 13. (Изм. - ДВ, бр. 10 от 1990 г., бр. 27 от 1991 г., бр. 19 от 1992 г., бр. 23 от 1993 г., бр. 38 от 1994 г., бр. 59 от 1995 г., бр. 33 от 1996 г., бр. 16 от 1997 г., бр. 44 от 1997 г.) (1) Доходите на лицата които не подлежат на облагане по реда на дял I, глава I, се облагат с данък по следната таблица:</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tblGrid>
      <w:tr w:rsidR="000C5823" w:rsidRPr="00A10278" w:rsidTr="00805C6A">
        <w:trPr>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p>
        </w:tc>
      </w:tr>
    </w:tbl>
    <w:p w:rsidR="000C5823" w:rsidRPr="00A10278" w:rsidRDefault="000C5823" w:rsidP="000C5823">
      <w:pPr>
        <w:spacing w:after="0" w:line="240" w:lineRule="auto"/>
        <w:rPr>
          <w:rFonts w:ascii="Times New Roman" w:eastAsia="Times New Roman" w:hAnsi="Times New Roman" w:cs="Times New Roman"/>
          <w:sz w:val="24"/>
          <w:szCs w:val="24"/>
          <w:lang w:eastAsia="bg-BG"/>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423"/>
        <w:gridCol w:w="1001"/>
        <w:gridCol w:w="5312"/>
      </w:tblGrid>
      <w:tr w:rsidR="000C5823" w:rsidRPr="00A10278" w:rsidTr="00805C6A">
        <w:trPr>
          <w:gridAfter w:val="1"/>
          <w:tblCellSpacing w:w="0" w:type="dxa"/>
        </w:trPr>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Годишен доход</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Данък</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до 600 000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необлагаеми </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600 001 лв. до 720 000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20% за горницата над 600000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 xml:space="preserve">от 720 001 лв. до 960 000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24 000 лв. + 22% за горницата над 720 000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lastRenderedPageBreak/>
              <w:t xml:space="preserve">от 960 001 лв. до 1 920 000 лв. </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76 800 лв. + 24% за горницата над 960 000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от 1 920 001 лв. до 3 840 000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307 200 лв. + 28% за горницата над 1 920 000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от 3 840 001 лв. до 7 680 000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844 800 лв. + 32% за горницата над 3 840 000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от 7 680 001 лв. до 15 360 000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2 073 600 лв. + 36% за горницата над 7 680 000 лв.</w:t>
            </w:r>
          </w:p>
        </w:tc>
      </w:tr>
      <w:tr w:rsidR="000C5823" w:rsidRPr="00A10278" w:rsidTr="00805C6A">
        <w:trPr>
          <w:tblCellSpacing w:w="0" w:type="dxa"/>
        </w:trPr>
        <w:tc>
          <w:tcPr>
            <w:tcW w:w="0" w:type="auto"/>
            <w:gridSpan w:val="2"/>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над 15 360 001 лв.</w:t>
            </w:r>
          </w:p>
        </w:tc>
        <w:tc>
          <w:tcPr>
            <w:tcW w:w="0" w:type="auto"/>
            <w:vAlign w:val="center"/>
            <w:hideMark/>
          </w:tcPr>
          <w:p w:rsidR="000C5823" w:rsidRPr="00A10278" w:rsidRDefault="000C5823" w:rsidP="00805C6A">
            <w:pPr>
              <w:spacing w:after="0" w:line="240" w:lineRule="auto"/>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4 834 400 лв. + 40% за горницата над 15 600 000 лв.</w:t>
            </w:r>
          </w:p>
        </w:tc>
      </w:tr>
    </w:tbl>
    <w:p w:rsidR="000C5823" w:rsidRDefault="000C5823" w:rsidP="000C5823">
      <w:pPr>
        <w:rPr>
          <w:rFonts w:ascii="Times New Roman" w:eastAsia="Times New Roman" w:hAnsi="Times New Roman" w:cs="Times New Roman"/>
          <w:sz w:val="24"/>
          <w:szCs w:val="24"/>
          <w:lang w:eastAsia="bg-BG"/>
        </w:rPr>
      </w:pPr>
      <w:r w:rsidRPr="00A10278">
        <w:rPr>
          <w:rFonts w:ascii="Times New Roman" w:eastAsia="Times New Roman" w:hAnsi="Times New Roman" w:cs="Times New Roman"/>
          <w:sz w:val="24"/>
          <w:szCs w:val="24"/>
          <w:lang w:eastAsia="bg-BG"/>
        </w:rPr>
        <w:t>(2) (Доп. - ДВ, бр. 16 от 1997 г.) Данъкът се определя върху сумата от всички доходи</w:t>
      </w:r>
    </w:p>
    <w:p w:rsidR="009A687F" w:rsidRDefault="009A687F" w:rsidP="000C5823">
      <w:pPr>
        <w:rPr>
          <w:rFonts w:ascii="Times New Roman" w:eastAsia="Times New Roman" w:hAnsi="Times New Roman" w:cs="Times New Roman"/>
          <w:sz w:val="24"/>
          <w:szCs w:val="24"/>
          <w:lang w:eastAsia="bg-BG"/>
        </w:rPr>
      </w:pPr>
    </w:p>
    <w:p w:rsidR="009A687F" w:rsidRDefault="009A687F" w:rsidP="009A687F">
      <w:pPr>
        <w:rPr>
          <w:b/>
        </w:rPr>
      </w:pPr>
      <w:r w:rsidRPr="00BF3194">
        <w:rPr>
          <w:b/>
        </w:rPr>
        <w:t>Облагане на доходите през 2000 г</w:t>
      </w:r>
      <w:r>
        <w:t>.</w:t>
      </w:r>
      <w:r>
        <w:br/>
        <w:t>Месечен доход в лева Дължим данък</w:t>
      </w:r>
      <w:r>
        <w:br/>
        <w:t>До 80 необлагаеми</w:t>
      </w:r>
      <w:r>
        <w:br/>
        <w:t>От 80 до 115 20% за горницата над 80</w:t>
      </w:r>
      <w:r>
        <w:br/>
        <w:t>От 115 до 380 7 + 26% за горницата над 115</w:t>
      </w:r>
      <w:r>
        <w:br/>
        <w:t>От 380 до 1400 75,9 + 32% за горницата над 380</w:t>
      </w:r>
      <w:r>
        <w:br/>
        <w:t>Над 1400 403,6 + 40% за горницата над 1400</w:t>
      </w:r>
      <w:r>
        <w:br/>
      </w:r>
      <w:r>
        <w:br/>
      </w:r>
      <w:r>
        <w:br/>
      </w:r>
      <w:r w:rsidRPr="00BF3194">
        <w:rPr>
          <w:b/>
        </w:rPr>
        <w:t>Облагане на доходите през 2001 г.</w:t>
      </w:r>
    </w:p>
    <w:p w:rsidR="009A687F" w:rsidRDefault="009A687F" w:rsidP="009A687F">
      <w:r>
        <w:br/>
        <w:t>Месечен доход в лева Данък</w:t>
      </w:r>
      <w:r>
        <w:br/>
        <w:t>До 100 необлагаеми</w:t>
      </w:r>
      <w:r>
        <w:br/>
        <w:t>От 100 до 135 20% за горницата над 100</w:t>
      </w:r>
      <w:r>
        <w:br/>
        <w:t>От 135 до 400 7 + 26% за горницата над 135</w:t>
      </w:r>
      <w:r>
        <w:br/>
        <w:t>От 400 до 1400 75.9 + 32% за горницата над 400</w:t>
      </w:r>
      <w:r>
        <w:br/>
        <w:t>Над 1400 395.9 + 38% за горницата над 1400</w:t>
      </w:r>
      <w:r>
        <w:br/>
      </w:r>
      <w:r>
        <w:br/>
      </w:r>
      <w:r>
        <w:br/>
      </w:r>
      <w:r w:rsidRPr="00BF3194">
        <w:rPr>
          <w:b/>
        </w:rPr>
        <w:t>Облагане на годишните доходи от 2000 г.</w:t>
      </w:r>
      <w:r>
        <w:br/>
        <w:t>Годишен доход в лева Данък</w:t>
      </w:r>
      <w:r>
        <w:br/>
        <w:t>До 960 необлагаеми</w:t>
      </w:r>
      <w:r>
        <w:br/>
        <w:t>От 960 до 1380 20% за горницата над 960</w:t>
      </w:r>
      <w:r>
        <w:br/>
        <w:t>От 1380 до 4560 84 + 26% за горницата над 1380</w:t>
      </w:r>
      <w:r>
        <w:br/>
        <w:t>От 4560 до 16 800 910.8 + 32% за горницата над 4560</w:t>
      </w:r>
      <w:r>
        <w:br/>
        <w:t>Над 16 800 4 843.2 + 40% за горницата над 16 800</w:t>
      </w:r>
      <w:r>
        <w:br/>
      </w:r>
      <w:r>
        <w:br/>
      </w:r>
      <w:r w:rsidRPr="00EC597A">
        <w:rPr>
          <w:b/>
          <w:sz w:val="24"/>
          <w:szCs w:val="24"/>
        </w:rPr>
        <w:t>Облагане на годишните доходи от 2001 г.</w:t>
      </w:r>
      <w:r w:rsidRPr="00EC597A">
        <w:rPr>
          <w:b/>
          <w:sz w:val="24"/>
          <w:szCs w:val="24"/>
        </w:rPr>
        <w:br/>
      </w:r>
      <w:r>
        <w:t>Годишен доход в лева Данък</w:t>
      </w:r>
      <w:r>
        <w:br/>
        <w:t>До 1200 необлагаеми</w:t>
      </w:r>
      <w:bookmarkStart w:id="0" w:name="_GoBack"/>
      <w:bookmarkEnd w:id="0"/>
    </w:p>
    <w:p w:rsidR="009A687F" w:rsidRDefault="009A687F" w:rsidP="009A687F">
      <w:r>
        <w:t>От 1200 до 1620 20% за горницата над 1200</w:t>
      </w:r>
      <w:r>
        <w:br/>
        <w:t>От 1620 до 4800 84 + 26% за горницата над 1620</w:t>
      </w:r>
      <w:r>
        <w:br/>
        <w:t>От 4800 до 16 800 910.8 + 32% за горницата над 4800</w:t>
      </w:r>
      <w:r>
        <w:br/>
        <w:t>Над 16 800 4750.8 + 38% за горницата над 16 800</w:t>
      </w:r>
    </w:p>
    <w:p w:rsidR="009A687F" w:rsidRDefault="009A687F" w:rsidP="009A687F"/>
    <w:p w:rsidR="009A687F" w:rsidRDefault="009A687F" w:rsidP="009A687F"/>
    <w:p w:rsidR="009A687F" w:rsidRDefault="009A687F" w:rsidP="009A687F"/>
    <w:p w:rsidR="009A687F" w:rsidRPr="009A687F" w:rsidRDefault="009A687F" w:rsidP="009A687F">
      <w:pPr>
        <w:rPr>
          <w:rFonts w:ascii="Times New Roman" w:eastAsia="Times New Roman" w:hAnsi="Times New Roman" w:cs="Times New Roman"/>
          <w:b/>
          <w:lang w:eastAsia="bg-BG"/>
        </w:rPr>
      </w:pPr>
      <w:r>
        <w:rPr>
          <w:rFonts w:ascii="Arial" w:hAnsi="Arial" w:cs="Arial"/>
          <w:b/>
        </w:rPr>
        <w:lastRenderedPageBreak/>
        <w:t>Облагане  на  доходите</w:t>
      </w:r>
      <w:r w:rsidRPr="009A687F">
        <w:rPr>
          <w:rFonts w:ascii="Arial" w:hAnsi="Arial" w:cs="Arial"/>
          <w:b/>
        </w:rPr>
        <w:t xml:space="preserve"> 2002 г.</w:t>
      </w:r>
    </w:p>
    <w:p w:rsidR="009A687F" w:rsidRPr="009A687F" w:rsidRDefault="009A687F" w:rsidP="009A687F">
      <w:pPr>
        <w:rPr>
          <w:rFonts w:ascii="Arial" w:hAnsi="Arial" w:cs="Arial"/>
        </w:rPr>
      </w:pPr>
      <w:r w:rsidRPr="009A687F">
        <w:rPr>
          <w:rFonts w:ascii="Arial" w:hAnsi="Arial" w:cs="Arial"/>
        </w:rPr>
        <w:t>Данъчна основа          Данък</w:t>
      </w:r>
    </w:p>
    <w:p w:rsidR="009A687F" w:rsidRPr="009A687F" w:rsidRDefault="009A687F" w:rsidP="009A687F">
      <w:pPr>
        <w:rPr>
          <w:rFonts w:ascii="Arial" w:hAnsi="Arial" w:cs="Arial"/>
        </w:rPr>
      </w:pPr>
      <w:r w:rsidRPr="009A687F">
        <w:rPr>
          <w:rFonts w:ascii="Arial" w:hAnsi="Arial" w:cs="Arial"/>
        </w:rPr>
        <w:t>До 110                          Необлагаем</w:t>
      </w:r>
    </w:p>
    <w:p w:rsidR="009A687F" w:rsidRPr="009A687F" w:rsidRDefault="009A687F" w:rsidP="009A687F">
      <w:pPr>
        <w:rPr>
          <w:rFonts w:ascii="Arial" w:hAnsi="Arial" w:cs="Arial"/>
        </w:rPr>
      </w:pPr>
      <w:r w:rsidRPr="009A687F">
        <w:rPr>
          <w:rFonts w:ascii="Arial" w:hAnsi="Arial" w:cs="Arial"/>
        </w:rPr>
        <w:t>От 110 до 140              18% за горницата над 110</w:t>
      </w:r>
    </w:p>
    <w:p w:rsidR="009A687F" w:rsidRPr="009A687F" w:rsidRDefault="009A687F" w:rsidP="009A687F">
      <w:pPr>
        <w:rPr>
          <w:rFonts w:ascii="Arial" w:hAnsi="Arial" w:cs="Arial"/>
        </w:rPr>
      </w:pPr>
      <w:r w:rsidRPr="009A687F">
        <w:rPr>
          <w:rFonts w:ascii="Arial" w:hAnsi="Arial" w:cs="Arial"/>
        </w:rPr>
        <w:t>От 140 до 400               5.4 + 24% за горницата над 140</w:t>
      </w:r>
    </w:p>
    <w:p w:rsidR="009A687F" w:rsidRPr="009A687F" w:rsidRDefault="009A687F" w:rsidP="009A687F">
      <w:pPr>
        <w:rPr>
          <w:rFonts w:ascii="Arial" w:hAnsi="Arial" w:cs="Arial"/>
        </w:rPr>
      </w:pPr>
      <w:r w:rsidRPr="009A687F">
        <w:rPr>
          <w:rFonts w:ascii="Arial" w:hAnsi="Arial" w:cs="Arial"/>
        </w:rPr>
        <w:t>От 400 до 1000             67.8 + 28% за горницата над 400</w:t>
      </w:r>
    </w:p>
    <w:p w:rsidR="009A687F" w:rsidRPr="009A687F" w:rsidRDefault="009A687F" w:rsidP="009A687F">
      <w:pPr>
        <w:rPr>
          <w:rFonts w:ascii="Arial" w:hAnsi="Arial" w:cs="Arial"/>
        </w:rPr>
      </w:pPr>
      <w:r w:rsidRPr="009A687F">
        <w:rPr>
          <w:rFonts w:ascii="Arial" w:hAnsi="Arial" w:cs="Arial"/>
        </w:rPr>
        <w:t>Над 1000                       235.8 + 29% за горницата над 1000</w:t>
      </w:r>
    </w:p>
    <w:p w:rsidR="009A687F" w:rsidRDefault="009A687F" w:rsidP="009A687F">
      <w:pPr>
        <w:rPr>
          <w:rFonts w:ascii="Arial" w:hAnsi="Arial" w:cs="Arial"/>
          <w:sz w:val="18"/>
          <w:szCs w:val="18"/>
        </w:rPr>
      </w:pPr>
    </w:p>
    <w:p w:rsidR="009A687F" w:rsidRDefault="009A687F" w:rsidP="009A687F">
      <w:pPr>
        <w:rPr>
          <w:rFonts w:ascii="Arial" w:hAnsi="Arial" w:cs="Arial"/>
          <w:b/>
        </w:rPr>
      </w:pPr>
      <w:r>
        <w:rPr>
          <w:rFonts w:ascii="Arial" w:hAnsi="Arial" w:cs="Arial"/>
          <w:b/>
        </w:rPr>
        <w:t>Облагане  на  доходите</w:t>
      </w:r>
      <w:r w:rsidRPr="009A687F">
        <w:rPr>
          <w:rFonts w:ascii="Arial" w:hAnsi="Arial" w:cs="Arial"/>
          <w:b/>
        </w:rPr>
        <w:t xml:space="preserve"> </w:t>
      </w:r>
      <w:r>
        <w:rPr>
          <w:rFonts w:ascii="Arial" w:hAnsi="Arial" w:cs="Arial"/>
          <w:b/>
        </w:rPr>
        <w:t>2003</w:t>
      </w:r>
      <w:r w:rsidRPr="009A687F">
        <w:rPr>
          <w:rFonts w:ascii="Arial" w:hAnsi="Arial" w:cs="Arial"/>
          <w:b/>
        </w:rPr>
        <w:t xml:space="preserve"> г.</w:t>
      </w:r>
    </w:p>
    <w:p w:rsidR="009A687F" w:rsidRPr="00F55F4E" w:rsidRDefault="009A687F" w:rsidP="009A687F">
      <w:pPr>
        <w:rPr>
          <w:rFonts w:ascii="Arial" w:hAnsi="Arial" w:cs="Arial"/>
        </w:rPr>
      </w:pPr>
      <w:r w:rsidRPr="00F55F4E">
        <w:rPr>
          <w:rFonts w:ascii="Arial" w:hAnsi="Arial" w:cs="Arial"/>
        </w:rPr>
        <w:t>Данъчна основа                   Данък</w:t>
      </w:r>
    </w:p>
    <w:p w:rsidR="009A687F" w:rsidRPr="00F55F4E" w:rsidRDefault="009A687F" w:rsidP="009A687F">
      <w:pPr>
        <w:rPr>
          <w:rFonts w:ascii="Arial" w:hAnsi="Arial" w:cs="Arial"/>
        </w:rPr>
      </w:pPr>
      <w:r w:rsidRPr="00F55F4E">
        <w:rPr>
          <w:rFonts w:ascii="Arial" w:hAnsi="Arial" w:cs="Arial"/>
        </w:rPr>
        <w:t>До 110                                  Необлагаем</w:t>
      </w:r>
    </w:p>
    <w:p w:rsidR="009A687F" w:rsidRPr="00F55F4E" w:rsidRDefault="009A687F" w:rsidP="009A687F">
      <w:pPr>
        <w:rPr>
          <w:rFonts w:ascii="Arial" w:hAnsi="Arial" w:cs="Arial"/>
        </w:rPr>
      </w:pPr>
      <w:r w:rsidRPr="00F55F4E">
        <w:rPr>
          <w:rFonts w:ascii="Arial" w:hAnsi="Arial" w:cs="Arial"/>
        </w:rPr>
        <w:t>От 110 до 150                     15% за горницата над 110</w:t>
      </w:r>
    </w:p>
    <w:p w:rsidR="009A687F" w:rsidRPr="00F55F4E" w:rsidRDefault="009A687F" w:rsidP="009A687F">
      <w:pPr>
        <w:rPr>
          <w:rFonts w:ascii="Arial" w:hAnsi="Arial" w:cs="Arial"/>
        </w:rPr>
      </w:pPr>
      <w:r w:rsidRPr="00F55F4E">
        <w:rPr>
          <w:rFonts w:ascii="Arial" w:hAnsi="Arial" w:cs="Arial"/>
        </w:rPr>
        <w:t>От 150 до 250                     6 + 22% за горницата над 150</w:t>
      </w:r>
    </w:p>
    <w:p w:rsidR="009A687F" w:rsidRPr="00F55F4E" w:rsidRDefault="009A687F" w:rsidP="009A687F">
      <w:pPr>
        <w:rPr>
          <w:rFonts w:ascii="Arial" w:hAnsi="Arial" w:cs="Arial"/>
        </w:rPr>
      </w:pPr>
      <w:r w:rsidRPr="00F55F4E">
        <w:rPr>
          <w:rFonts w:ascii="Arial" w:hAnsi="Arial" w:cs="Arial"/>
        </w:rPr>
        <w:t>От 250 до 600                     28 + 26% за горницата над 250</w:t>
      </w:r>
    </w:p>
    <w:p w:rsidR="009A687F" w:rsidRPr="00F55F4E" w:rsidRDefault="009A687F" w:rsidP="009A687F">
      <w:pPr>
        <w:rPr>
          <w:rFonts w:ascii="Times New Roman" w:eastAsia="Times New Roman" w:hAnsi="Times New Roman" w:cs="Times New Roman"/>
          <w:b/>
          <w:lang w:eastAsia="bg-BG"/>
        </w:rPr>
      </w:pPr>
      <w:r w:rsidRPr="00F55F4E">
        <w:rPr>
          <w:rFonts w:ascii="Arial" w:hAnsi="Arial" w:cs="Arial"/>
        </w:rPr>
        <w:t>Над 600</w:t>
      </w:r>
      <w:r w:rsidR="00F55F4E" w:rsidRPr="00F55F4E">
        <w:rPr>
          <w:rFonts w:ascii="Arial" w:hAnsi="Arial" w:cs="Arial"/>
        </w:rPr>
        <w:t xml:space="preserve">                             </w:t>
      </w:r>
      <w:r w:rsidRPr="00F55F4E">
        <w:rPr>
          <w:rFonts w:ascii="Arial" w:hAnsi="Arial" w:cs="Arial"/>
        </w:rPr>
        <w:t xml:space="preserve"> 119 + 29% за горницата над 600</w:t>
      </w:r>
    </w:p>
    <w:p w:rsidR="009A687F" w:rsidRDefault="009A687F" w:rsidP="009A687F">
      <w:pPr>
        <w:rPr>
          <w:rFonts w:ascii="Arial" w:hAnsi="Arial" w:cs="Arial"/>
          <w:sz w:val="18"/>
          <w:szCs w:val="18"/>
        </w:rPr>
      </w:pPr>
      <w:r>
        <w:rPr>
          <w:rFonts w:ascii="Arial" w:hAnsi="Arial" w:cs="Arial"/>
          <w:sz w:val="18"/>
          <w:szCs w:val="18"/>
        </w:rPr>
        <w:t xml:space="preserve"> </w:t>
      </w:r>
    </w:p>
    <w:p w:rsidR="009A687F" w:rsidRDefault="009A687F" w:rsidP="009A687F">
      <w:pPr>
        <w:rPr>
          <w:rFonts w:ascii="Arial" w:hAnsi="Arial" w:cs="Arial"/>
          <w:sz w:val="18"/>
          <w:szCs w:val="18"/>
        </w:rPr>
      </w:pPr>
    </w:p>
    <w:p w:rsidR="009A687F" w:rsidRDefault="009A687F" w:rsidP="009A687F">
      <w:pPr>
        <w:rPr>
          <w:rFonts w:ascii="Arial" w:hAnsi="Arial" w:cs="Arial"/>
          <w:sz w:val="18"/>
          <w:szCs w:val="18"/>
        </w:rPr>
      </w:pPr>
    </w:p>
    <w:p w:rsidR="009A687F" w:rsidRDefault="009A687F" w:rsidP="009A687F">
      <w:pPr>
        <w:rPr>
          <w:rFonts w:ascii="Arial" w:hAnsi="Arial" w:cs="Arial"/>
          <w:sz w:val="18"/>
          <w:szCs w:val="18"/>
        </w:rPr>
      </w:pPr>
    </w:p>
    <w:p w:rsidR="009A687F" w:rsidRDefault="009A687F" w:rsidP="009A687F">
      <w:pPr>
        <w:rPr>
          <w:rFonts w:ascii="Times New Roman" w:eastAsia="Times New Roman" w:hAnsi="Times New Roman" w:cs="Times New Roman"/>
          <w:sz w:val="24"/>
          <w:szCs w:val="24"/>
          <w:lang w:eastAsia="bg-BG"/>
        </w:rPr>
      </w:pPr>
    </w:p>
    <w:p w:rsidR="009A687F" w:rsidRDefault="009A687F" w:rsidP="000C5823">
      <w:pPr>
        <w:rPr>
          <w:rFonts w:ascii="Times New Roman" w:eastAsia="Times New Roman" w:hAnsi="Times New Roman" w:cs="Times New Roman"/>
          <w:sz w:val="24"/>
          <w:szCs w:val="24"/>
          <w:lang w:eastAsia="bg-BG"/>
        </w:rPr>
      </w:pPr>
    </w:p>
    <w:p w:rsidR="009A687F" w:rsidRDefault="009A687F" w:rsidP="000C5823">
      <w:pPr>
        <w:rPr>
          <w:rFonts w:ascii="Times New Roman" w:eastAsia="Times New Roman" w:hAnsi="Times New Roman" w:cs="Times New Roman"/>
          <w:sz w:val="24"/>
          <w:szCs w:val="24"/>
          <w:lang w:eastAsia="bg-BG"/>
        </w:rPr>
      </w:pPr>
    </w:p>
    <w:p w:rsidR="009A687F" w:rsidRDefault="009A687F" w:rsidP="000C5823">
      <w:pPr>
        <w:rPr>
          <w:rFonts w:ascii="Times New Roman" w:eastAsia="Times New Roman" w:hAnsi="Times New Roman" w:cs="Times New Roman"/>
          <w:sz w:val="24"/>
          <w:szCs w:val="24"/>
          <w:lang w:eastAsia="bg-BG"/>
        </w:rPr>
      </w:pPr>
    </w:p>
    <w:p w:rsidR="009A687F" w:rsidRDefault="009A687F" w:rsidP="000C5823">
      <w:pPr>
        <w:rPr>
          <w:rFonts w:ascii="Times New Roman" w:eastAsia="Times New Roman" w:hAnsi="Times New Roman" w:cs="Times New Roman"/>
          <w:sz w:val="24"/>
          <w:szCs w:val="24"/>
          <w:lang w:eastAsia="bg-BG"/>
        </w:rPr>
      </w:pPr>
    </w:p>
    <w:p w:rsidR="000C5823" w:rsidRDefault="000C5823" w:rsidP="000C5823">
      <w:pPr>
        <w:rPr>
          <w:rFonts w:ascii="Times New Roman" w:eastAsia="Times New Roman" w:hAnsi="Times New Roman" w:cs="Times New Roman"/>
          <w:sz w:val="24"/>
          <w:szCs w:val="24"/>
          <w:lang w:eastAsia="bg-BG"/>
        </w:rPr>
      </w:pPr>
    </w:p>
    <w:p w:rsidR="000F6211" w:rsidRPr="009A687F" w:rsidRDefault="000F6211" w:rsidP="009A687F">
      <w:pPr>
        <w:rPr>
          <w:rFonts w:ascii="Times New Roman" w:eastAsia="Times New Roman" w:hAnsi="Times New Roman" w:cs="Times New Roman"/>
          <w:b/>
          <w:sz w:val="28"/>
          <w:szCs w:val="28"/>
          <w:lang w:eastAsia="bg-BG"/>
        </w:rPr>
      </w:pPr>
    </w:p>
    <w:p w:rsidR="005B4C98" w:rsidRPr="000C5823" w:rsidRDefault="005B4C98" w:rsidP="005B4C98">
      <w:pPr>
        <w:rPr>
          <w:b/>
          <w:sz w:val="28"/>
          <w:szCs w:val="28"/>
        </w:rPr>
      </w:pPr>
      <w:r>
        <w:br/>
      </w:r>
      <w:r>
        <w:br/>
      </w:r>
    </w:p>
    <w:sectPr w:rsidR="005B4C98" w:rsidRPr="000C58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823"/>
    <w:rsid w:val="000C5823"/>
    <w:rsid w:val="000F6211"/>
    <w:rsid w:val="005B4C98"/>
    <w:rsid w:val="009A687F"/>
    <w:rsid w:val="00A60F3B"/>
    <w:rsid w:val="00B66A2C"/>
    <w:rsid w:val="00EC597A"/>
    <w:rsid w:val="00F55F4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A7206-F42C-43EE-93B9-1333C2D3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len">
    <w:name w:val="chlen"/>
    <w:basedOn w:val="a"/>
    <w:rsid w:val="000C5823"/>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5152">
      <w:bodyDiv w:val="1"/>
      <w:marLeft w:val="0"/>
      <w:marRight w:val="0"/>
      <w:marTop w:val="0"/>
      <w:marBottom w:val="0"/>
      <w:divBdr>
        <w:top w:val="none" w:sz="0" w:space="0" w:color="auto"/>
        <w:left w:val="none" w:sz="0" w:space="0" w:color="auto"/>
        <w:bottom w:val="none" w:sz="0" w:space="0" w:color="auto"/>
        <w:right w:val="none" w:sz="0" w:space="0" w:color="auto"/>
      </w:divBdr>
    </w:div>
    <w:div w:id="271597797">
      <w:bodyDiv w:val="1"/>
      <w:marLeft w:val="0"/>
      <w:marRight w:val="0"/>
      <w:marTop w:val="0"/>
      <w:marBottom w:val="0"/>
      <w:divBdr>
        <w:top w:val="none" w:sz="0" w:space="0" w:color="auto"/>
        <w:left w:val="none" w:sz="0" w:space="0" w:color="auto"/>
        <w:bottom w:val="none" w:sz="0" w:space="0" w:color="auto"/>
        <w:right w:val="none" w:sz="0" w:space="0" w:color="auto"/>
      </w:divBdr>
    </w:div>
    <w:div w:id="332223402">
      <w:bodyDiv w:val="1"/>
      <w:marLeft w:val="0"/>
      <w:marRight w:val="0"/>
      <w:marTop w:val="0"/>
      <w:marBottom w:val="0"/>
      <w:divBdr>
        <w:top w:val="none" w:sz="0" w:space="0" w:color="auto"/>
        <w:left w:val="none" w:sz="0" w:space="0" w:color="auto"/>
        <w:bottom w:val="none" w:sz="0" w:space="0" w:color="auto"/>
        <w:right w:val="none" w:sz="0" w:space="0" w:color="auto"/>
      </w:divBdr>
    </w:div>
    <w:div w:id="1003319300">
      <w:bodyDiv w:val="1"/>
      <w:marLeft w:val="0"/>
      <w:marRight w:val="0"/>
      <w:marTop w:val="0"/>
      <w:marBottom w:val="0"/>
      <w:divBdr>
        <w:top w:val="none" w:sz="0" w:space="0" w:color="auto"/>
        <w:left w:val="none" w:sz="0" w:space="0" w:color="auto"/>
        <w:bottom w:val="none" w:sz="0" w:space="0" w:color="auto"/>
        <w:right w:val="none" w:sz="0" w:space="0" w:color="auto"/>
      </w:divBdr>
      <w:divsChild>
        <w:div w:id="630675093">
          <w:marLeft w:val="0"/>
          <w:marRight w:val="0"/>
          <w:marTop w:val="0"/>
          <w:marBottom w:val="0"/>
          <w:divBdr>
            <w:top w:val="none" w:sz="0" w:space="0" w:color="auto"/>
            <w:left w:val="none" w:sz="0" w:space="0" w:color="auto"/>
            <w:bottom w:val="none" w:sz="0" w:space="0" w:color="auto"/>
            <w:right w:val="none" w:sz="0" w:space="0" w:color="auto"/>
          </w:divBdr>
          <w:divsChild>
            <w:div w:id="753282382">
              <w:marLeft w:val="0"/>
              <w:marRight w:val="0"/>
              <w:marTop w:val="0"/>
              <w:marBottom w:val="0"/>
              <w:divBdr>
                <w:top w:val="none" w:sz="0" w:space="0" w:color="auto"/>
                <w:left w:val="none" w:sz="0" w:space="0" w:color="auto"/>
                <w:bottom w:val="none" w:sz="0" w:space="0" w:color="auto"/>
                <w:right w:val="none" w:sz="0" w:space="0" w:color="auto"/>
              </w:divBdr>
              <w:divsChild>
                <w:div w:id="187584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11704">
      <w:bodyDiv w:val="1"/>
      <w:marLeft w:val="0"/>
      <w:marRight w:val="0"/>
      <w:marTop w:val="0"/>
      <w:marBottom w:val="0"/>
      <w:divBdr>
        <w:top w:val="none" w:sz="0" w:space="0" w:color="auto"/>
        <w:left w:val="none" w:sz="0" w:space="0" w:color="auto"/>
        <w:bottom w:val="none" w:sz="0" w:space="0" w:color="auto"/>
        <w:right w:val="none" w:sz="0" w:space="0" w:color="auto"/>
      </w:divBdr>
    </w:div>
    <w:div w:id="16789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1101</Words>
  <Characters>6278</Characters>
  <Application>Microsoft Office Word</Application>
  <DocSecurity>0</DocSecurity>
  <Lines>52</Lines>
  <Paragraphs>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irka</dc:creator>
  <cp:keywords/>
  <dc:description/>
  <cp:lastModifiedBy>irka</cp:lastModifiedBy>
  <cp:revision>4</cp:revision>
  <dcterms:created xsi:type="dcterms:W3CDTF">2022-04-07T13:41:00Z</dcterms:created>
  <dcterms:modified xsi:type="dcterms:W3CDTF">2022-04-07T13:50:00Z</dcterms:modified>
</cp:coreProperties>
</file>