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shd w:val="clear" w:color="auto" w:fill="DBDBDB"/>
        <w:tblCellMar>
          <w:left w:w="0" w:type="dxa"/>
          <w:right w:w="0" w:type="dxa"/>
        </w:tblCellMar>
        <w:tblLook w:val="04A0" w:firstRow="1" w:lastRow="0" w:firstColumn="1" w:lastColumn="0" w:noHBand="0" w:noVBand="1"/>
      </w:tblPr>
      <w:tblGrid>
        <w:gridCol w:w="2700"/>
        <w:gridCol w:w="3464"/>
        <w:gridCol w:w="2428"/>
        <w:gridCol w:w="480"/>
      </w:tblGrid>
      <w:tr w:rsidR="001E1E2B" w:rsidRPr="001E1E2B" w:rsidTr="001E1E2B">
        <w:trPr>
          <w:tblCellSpacing w:w="0" w:type="dxa"/>
        </w:trPr>
        <w:tc>
          <w:tcPr>
            <w:tcW w:w="2700" w:type="dxa"/>
            <w:shd w:val="clear" w:color="auto" w:fill="DBDBDB"/>
            <w:hideMark/>
          </w:tcPr>
          <w:p w:rsidR="001E1E2B" w:rsidRPr="001E1E2B" w:rsidRDefault="001E1E2B" w:rsidP="001E1E2B">
            <w:pPr>
              <w:spacing w:after="0" w:line="240" w:lineRule="auto"/>
              <w:rPr>
                <w:rFonts w:ascii="Arial" w:eastAsia="Times New Roman" w:hAnsi="Arial" w:cs="Arial"/>
                <w:color w:val="333333"/>
                <w:sz w:val="21"/>
                <w:szCs w:val="21"/>
                <w:lang w:eastAsia="bg-BG"/>
              </w:rPr>
            </w:pPr>
            <w:r w:rsidRPr="001E1E2B">
              <w:rPr>
                <w:rFonts w:ascii="Arial" w:eastAsia="Times New Roman" w:hAnsi="Arial" w:cs="Arial"/>
                <w:color w:val="333333"/>
                <w:sz w:val="21"/>
                <w:szCs w:val="21"/>
                <w:lang w:eastAsia="bg-BG"/>
              </w:rPr>
              <w:t>в. Седмичен законник</w:t>
            </w:r>
            <w:r w:rsidRPr="001E1E2B">
              <w:rPr>
                <w:rFonts w:ascii="Arial" w:eastAsia="Times New Roman" w:hAnsi="Arial" w:cs="Arial"/>
                <w:color w:val="333333"/>
                <w:sz w:val="21"/>
                <w:szCs w:val="21"/>
                <w:lang w:eastAsia="bg-BG"/>
              </w:rPr>
              <w:br/>
            </w:r>
            <w:r w:rsidRPr="001E1E2B">
              <w:rPr>
                <w:rFonts w:ascii="Arial" w:eastAsia="Times New Roman" w:hAnsi="Arial" w:cs="Arial"/>
                <w:b/>
                <w:bCs/>
                <w:i/>
                <w:iCs/>
                <w:color w:val="666666"/>
                <w:sz w:val="21"/>
                <w:szCs w:val="21"/>
                <w:lang w:eastAsia="bg-BG"/>
              </w:rPr>
              <w:t>бр. 22, 10 - 16 юни 2013 г.</w:t>
            </w:r>
          </w:p>
        </w:tc>
        <w:tc>
          <w:tcPr>
            <w:tcW w:w="0" w:type="auto"/>
            <w:shd w:val="clear" w:color="auto" w:fill="DBDBDB"/>
            <w:vAlign w:val="center"/>
            <w:hideMark/>
          </w:tcPr>
          <w:p w:rsidR="001E1E2B" w:rsidRPr="001E1E2B" w:rsidRDefault="001E1E2B" w:rsidP="001E1E2B">
            <w:pPr>
              <w:spacing w:after="0" w:line="240" w:lineRule="auto"/>
              <w:rPr>
                <w:rFonts w:ascii="Arial" w:eastAsia="Times New Roman" w:hAnsi="Arial" w:cs="Arial"/>
                <w:color w:val="333333"/>
                <w:sz w:val="23"/>
                <w:szCs w:val="23"/>
                <w:lang w:eastAsia="bg-BG"/>
              </w:rPr>
            </w:pPr>
            <w:r w:rsidRPr="001E1E2B">
              <w:rPr>
                <w:rFonts w:ascii="Arial" w:eastAsia="Times New Roman" w:hAnsi="Arial" w:cs="Arial"/>
                <w:noProof/>
                <w:color w:val="333333"/>
                <w:sz w:val="23"/>
                <w:szCs w:val="23"/>
                <w:lang w:eastAsia="bg-BG"/>
              </w:rPr>
              <w:drawing>
                <wp:inline distT="0" distB="0" distL="0" distR="0" wp14:anchorId="472FA7B8" wp14:editId="0309D5E3">
                  <wp:extent cx="38100" cy="266700"/>
                  <wp:effectExtent l="0" t="0" r="0" b="0"/>
                  <wp:docPr id="1" name="Картина 1" descr="https://zakonnik.bg/images/button_a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zakonnik.bg/images/button_a_0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 cy="266700"/>
                          </a:xfrm>
                          <a:prstGeom prst="rect">
                            <a:avLst/>
                          </a:prstGeom>
                          <a:noFill/>
                          <a:ln>
                            <a:noFill/>
                          </a:ln>
                        </pic:spPr>
                      </pic:pic>
                    </a:graphicData>
                  </a:graphic>
                </wp:inline>
              </w:drawing>
            </w:r>
          </w:p>
          <w:p w:rsidR="001E1E2B" w:rsidRPr="001E1E2B" w:rsidRDefault="001E1E2B" w:rsidP="001E1E2B">
            <w:pPr>
              <w:spacing w:after="0" w:line="240" w:lineRule="auto"/>
              <w:rPr>
                <w:rFonts w:ascii="Arial" w:eastAsia="Times New Roman" w:hAnsi="Arial" w:cs="Arial"/>
                <w:b/>
                <w:bCs/>
                <w:color w:val="333333"/>
                <w:sz w:val="23"/>
                <w:szCs w:val="23"/>
                <w:lang w:eastAsia="bg-BG"/>
              </w:rPr>
            </w:pPr>
            <w:hyperlink r:id="rId5" w:history="1">
              <w:r w:rsidRPr="001E1E2B">
                <w:rPr>
                  <w:rFonts w:ascii="Arial" w:eastAsia="Times New Roman" w:hAnsi="Arial" w:cs="Arial"/>
                  <w:b/>
                  <w:bCs/>
                  <w:color w:val="26004D"/>
                  <w:sz w:val="23"/>
                  <w:szCs w:val="23"/>
                  <w:u w:val="single"/>
                  <w:lang w:eastAsia="bg-BG"/>
                </w:rPr>
                <w:t>Съдържание на броя</w:t>
              </w:r>
            </w:hyperlink>
          </w:p>
          <w:p w:rsidR="001E1E2B" w:rsidRPr="001E1E2B" w:rsidRDefault="001E1E2B" w:rsidP="001E1E2B">
            <w:pPr>
              <w:spacing w:after="0" w:line="240" w:lineRule="auto"/>
              <w:rPr>
                <w:rFonts w:ascii="Arial" w:eastAsia="Times New Roman" w:hAnsi="Arial" w:cs="Arial"/>
                <w:color w:val="333333"/>
                <w:sz w:val="23"/>
                <w:szCs w:val="23"/>
                <w:lang w:eastAsia="bg-BG"/>
              </w:rPr>
            </w:pPr>
            <w:r w:rsidRPr="001E1E2B">
              <w:rPr>
                <w:rFonts w:ascii="Arial" w:eastAsia="Times New Roman" w:hAnsi="Arial" w:cs="Arial"/>
                <w:noProof/>
                <w:color w:val="333333"/>
                <w:sz w:val="23"/>
                <w:szCs w:val="23"/>
                <w:lang w:eastAsia="bg-BG"/>
              </w:rPr>
              <w:drawing>
                <wp:inline distT="0" distB="0" distL="0" distR="0" wp14:anchorId="0A420F38" wp14:editId="4BD73433">
                  <wp:extent cx="47625" cy="266700"/>
                  <wp:effectExtent l="0" t="0" r="9525" b="0"/>
                  <wp:docPr id="2" name="Картина 2" descr="https://zakonnik.bg/images/button_a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zakonnik.bg/images/button_a_0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266700"/>
                          </a:xfrm>
                          <a:prstGeom prst="rect">
                            <a:avLst/>
                          </a:prstGeom>
                          <a:noFill/>
                          <a:ln>
                            <a:noFill/>
                          </a:ln>
                        </pic:spPr>
                      </pic:pic>
                    </a:graphicData>
                  </a:graphic>
                </wp:inline>
              </w:drawing>
            </w:r>
          </w:p>
        </w:tc>
        <w:tc>
          <w:tcPr>
            <w:tcW w:w="0" w:type="auto"/>
            <w:shd w:val="clear" w:color="auto" w:fill="DBDBDB"/>
            <w:vAlign w:val="center"/>
            <w:hideMark/>
          </w:tcPr>
          <w:p w:rsidR="001E1E2B" w:rsidRPr="001E1E2B" w:rsidRDefault="001E1E2B" w:rsidP="001E1E2B">
            <w:pPr>
              <w:spacing w:after="0" w:line="240" w:lineRule="auto"/>
              <w:rPr>
                <w:rFonts w:ascii="Arial" w:eastAsia="Times New Roman" w:hAnsi="Arial" w:cs="Arial"/>
                <w:color w:val="333333"/>
                <w:sz w:val="23"/>
                <w:szCs w:val="23"/>
                <w:lang w:eastAsia="bg-BG"/>
              </w:rPr>
            </w:pPr>
            <w:r w:rsidRPr="001E1E2B">
              <w:rPr>
                <w:rFonts w:ascii="Arial" w:eastAsia="Times New Roman" w:hAnsi="Arial" w:cs="Arial"/>
                <w:noProof/>
                <w:color w:val="333333"/>
                <w:sz w:val="23"/>
                <w:szCs w:val="23"/>
                <w:lang w:eastAsia="bg-BG"/>
              </w:rPr>
              <w:drawing>
                <wp:inline distT="0" distB="0" distL="0" distR="0" wp14:anchorId="234E94DD" wp14:editId="1AC61DF2">
                  <wp:extent cx="38100" cy="266700"/>
                  <wp:effectExtent l="0" t="0" r="0" b="0"/>
                  <wp:docPr id="3" name="Картина 3" descr="https://zakonnik.bg/images/button_a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zakonnik.bg/images/button_a_0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 cy="266700"/>
                          </a:xfrm>
                          <a:prstGeom prst="rect">
                            <a:avLst/>
                          </a:prstGeom>
                          <a:noFill/>
                          <a:ln>
                            <a:noFill/>
                          </a:ln>
                        </pic:spPr>
                      </pic:pic>
                    </a:graphicData>
                  </a:graphic>
                </wp:inline>
              </w:drawing>
            </w:r>
          </w:p>
          <w:p w:rsidR="001E1E2B" w:rsidRPr="001E1E2B" w:rsidRDefault="001E1E2B" w:rsidP="001E1E2B">
            <w:pPr>
              <w:spacing w:after="0" w:line="240" w:lineRule="auto"/>
              <w:rPr>
                <w:rFonts w:ascii="Arial" w:eastAsia="Times New Roman" w:hAnsi="Arial" w:cs="Arial"/>
                <w:b/>
                <w:bCs/>
                <w:color w:val="333333"/>
                <w:sz w:val="23"/>
                <w:szCs w:val="23"/>
                <w:lang w:eastAsia="bg-BG"/>
              </w:rPr>
            </w:pPr>
            <w:hyperlink r:id="rId7" w:history="1">
              <w:r w:rsidRPr="001E1E2B">
                <w:rPr>
                  <w:rFonts w:ascii="Arial" w:eastAsia="Times New Roman" w:hAnsi="Arial" w:cs="Arial"/>
                  <w:b/>
                  <w:bCs/>
                  <w:color w:val="26004D"/>
                  <w:sz w:val="23"/>
                  <w:szCs w:val="23"/>
                  <w:u w:val="single"/>
                  <w:lang w:eastAsia="bg-BG"/>
                </w:rPr>
                <w:t>Всички броеве</w:t>
              </w:r>
            </w:hyperlink>
          </w:p>
          <w:p w:rsidR="001E1E2B" w:rsidRPr="001E1E2B" w:rsidRDefault="001E1E2B" w:rsidP="001E1E2B">
            <w:pPr>
              <w:spacing w:after="0" w:line="240" w:lineRule="auto"/>
              <w:rPr>
                <w:rFonts w:ascii="Arial" w:eastAsia="Times New Roman" w:hAnsi="Arial" w:cs="Arial"/>
                <w:color w:val="333333"/>
                <w:sz w:val="23"/>
                <w:szCs w:val="23"/>
                <w:lang w:eastAsia="bg-BG"/>
              </w:rPr>
            </w:pPr>
            <w:r w:rsidRPr="001E1E2B">
              <w:rPr>
                <w:rFonts w:ascii="Arial" w:eastAsia="Times New Roman" w:hAnsi="Arial" w:cs="Arial"/>
                <w:noProof/>
                <w:color w:val="333333"/>
                <w:sz w:val="23"/>
                <w:szCs w:val="23"/>
                <w:lang w:eastAsia="bg-BG"/>
              </w:rPr>
              <w:drawing>
                <wp:inline distT="0" distB="0" distL="0" distR="0" wp14:anchorId="18B19AA2" wp14:editId="070776B5">
                  <wp:extent cx="47625" cy="266700"/>
                  <wp:effectExtent l="0" t="0" r="9525" b="0"/>
                  <wp:docPr id="4" name="Картина 4" descr="https://zakonnik.bg/images/button_a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zakonnik.bg/images/button_a_0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266700"/>
                          </a:xfrm>
                          <a:prstGeom prst="rect">
                            <a:avLst/>
                          </a:prstGeom>
                          <a:noFill/>
                          <a:ln>
                            <a:noFill/>
                          </a:ln>
                        </pic:spPr>
                      </pic:pic>
                    </a:graphicData>
                  </a:graphic>
                </wp:inline>
              </w:drawing>
            </w:r>
          </w:p>
        </w:tc>
        <w:tc>
          <w:tcPr>
            <w:tcW w:w="480" w:type="dxa"/>
            <w:shd w:val="clear" w:color="auto" w:fill="DBDBDB"/>
            <w:vAlign w:val="center"/>
            <w:hideMark/>
          </w:tcPr>
          <w:p w:rsidR="001E1E2B" w:rsidRPr="001E1E2B" w:rsidRDefault="001E1E2B" w:rsidP="001E1E2B">
            <w:pPr>
              <w:spacing w:after="0" w:line="240" w:lineRule="auto"/>
              <w:rPr>
                <w:rFonts w:ascii="Arial" w:eastAsia="Times New Roman" w:hAnsi="Arial" w:cs="Arial"/>
                <w:color w:val="333333"/>
                <w:sz w:val="23"/>
                <w:szCs w:val="23"/>
                <w:lang w:eastAsia="bg-BG"/>
              </w:rPr>
            </w:pPr>
          </w:p>
        </w:tc>
      </w:tr>
    </w:tbl>
    <w:p w:rsidR="001E1E2B" w:rsidRPr="001E1E2B" w:rsidRDefault="001E1E2B" w:rsidP="001E1E2B">
      <w:pPr>
        <w:shd w:val="clear" w:color="auto" w:fill="DBDBDB"/>
        <w:spacing w:before="600" w:after="600" w:line="240" w:lineRule="auto"/>
        <w:jc w:val="center"/>
        <w:outlineLvl w:val="0"/>
        <w:rPr>
          <w:rFonts w:ascii="Times New Roman" w:eastAsia="Times New Roman" w:hAnsi="Times New Roman" w:cs="Times New Roman"/>
          <w:color w:val="CC3300"/>
          <w:kern w:val="36"/>
          <w:sz w:val="32"/>
          <w:szCs w:val="32"/>
          <w:lang w:eastAsia="bg-BG"/>
        </w:rPr>
      </w:pPr>
      <w:r w:rsidRPr="001E1E2B">
        <w:rPr>
          <w:rFonts w:ascii="Times New Roman" w:eastAsia="Times New Roman" w:hAnsi="Times New Roman" w:cs="Times New Roman"/>
          <w:color w:val="CC3300"/>
          <w:kern w:val="36"/>
          <w:sz w:val="32"/>
          <w:szCs w:val="32"/>
          <w:lang w:eastAsia="bg-BG"/>
        </w:rPr>
        <w:t>Прехвърляне на недвижим имот под формата на ликвидационен дял при ликвидация на дружеството</w:t>
      </w:r>
    </w:p>
    <w:p w:rsidR="001E1E2B" w:rsidRPr="001E1E2B" w:rsidRDefault="001E1E2B" w:rsidP="001E1E2B">
      <w:pPr>
        <w:shd w:val="clear" w:color="auto" w:fill="DBDBDB"/>
        <w:spacing w:before="100" w:beforeAutospacing="1" w:after="90" w:line="240" w:lineRule="auto"/>
        <w:outlineLvl w:val="1"/>
        <w:rPr>
          <w:rFonts w:ascii="Arial" w:eastAsia="Times New Roman" w:hAnsi="Arial" w:cs="Arial"/>
          <w:b/>
          <w:bCs/>
          <w:i/>
          <w:iCs/>
          <w:color w:val="000000"/>
          <w:sz w:val="27"/>
          <w:szCs w:val="27"/>
          <w:lang w:eastAsia="bg-BG"/>
        </w:rPr>
      </w:pPr>
      <w:r w:rsidRPr="001E1E2B">
        <w:rPr>
          <w:rFonts w:ascii="Arial" w:eastAsia="Times New Roman" w:hAnsi="Arial" w:cs="Arial"/>
          <w:b/>
          <w:bCs/>
          <w:i/>
          <w:iCs/>
          <w:color w:val="000000"/>
          <w:sz w:val="27"/>
          <w:szCs w:val="27"/>
          <w:lang w:eastAsia="bg-BG"/>
        </w:rPr>
        <w:t xml:space="preserve">доц. д-р Людмила </w:t>
      </w:r>
      <w:proofErr w:type="spellStart"/>
      <w:r w:rsidRPr="001E1E2B">
        <w:rPr>
          <w:rFonts w:ascii="Arial" w:eastAsia="Times New Roman" w:hAnsi="Arial" w:cs="Arial"/>
          <w:b/>
          <w:bCs/>
          <w:i/>
          <w:iCs/>
          <w:color w:val="000000"/>
          <w:sz w:val="27"/>
          <w:szCs w:val="27"/>
          <w:lang w:eastAsia="bg-BG"/>
        </w:rPr>
        <w:t>Мермерска</w:t>
      </w:r>
      <w:proofErr w:type="spellEnd"/>
    </w:p>
    <w:p w:rsidR="001E1E2B" w:rsidRPr="001E1E2B" w:rsidRDefault="001E1E2B" w:rsidP="001E1E2B">
      <w:pPr>
        <w:shd w:val="clear" w:color="auto" w:fill="DBDBDB"/>
        <w:spacing w:after="0" w:line="240" w:lineRule="auto"/>
        <w:jc w:val="right"/>
        <w:rPr>
          <w:rFonts w:ascii="Arial" w:eastAsia="Times New Roman" w:hAnsi="Arial" w:cs="Arial"/>
          <w:color w:val="333333"/>
          <w:sz w:val="23"/>
          <w:szCs w:val="23"/>
          <w:lang w:eastAsia="bg-BG"/>
        </w:rPr>
      </w:pPr>
      <w:hyperlink r:id="rId8" w:history="1">
        <w:r w:rsidRPr="001E1E2B">
          <w:rPr>
            <w:rFonts w:ascii="Arial" w:eastAsia="Times New Roman" w:hAnsi="Arial" w:cs="Arial"/>
            <w:b/>
            <w:bCs/>
            <w:color w:val="26004D"/>
            <w:sz w:val="23"/>
            <w:szCs w:val="23"/>
            <w:u w:val="single"/>
            <w:lang w:eastAsia="bg-BG"/>
          </w:rPr>
          <w:t>Данъци</w:t>
        </w:r>
      </w:hyperlink>
    </w:p>
    <w:p w:rsidR="001E1E2B" w:rsidRPr="001E1E2B" w:rsidRDefault="001E1E2B" w:rsidP="001E1E2B">
      <w:pPr>
        <w:shd w:val="clear" w:color="auto" w:fill="DBDBDB"/>
        <w:spacing w:before="100" w:beforeAutospacing="1" w:after="100" w:afterAutospacing="1" w:line="240" w:lineRule="auto"/>
        <w:rPr>
          <w:rFonts w:ascii="Arial" w:eastAsia="Times New Roman" w:hAnsi="Arial" w:cs="Arial"/>
          <w:color w:val="333333"/>
          <w:sz w:val="23"/>
          <w:szCs w:val="23"/>
          <w:lang w:eastAsia="bg-BG"/>
        </w:rPr>
      </w:pPr>
      <w:r w:rsidRPr="001E1E2B">
        <w:rPr>
          <w:rFonts w:ascii="Arial" w:eastAsia="Times New Roman" w:hAnsi="Arial" w:cs="Arial"/>
          <w:color w:val="333333"/>
          <w:sz w:val="23"/>
          <w:szCs w:val="23"/>
          <w:lang w:eastAsia="bg-BG"/>
        </w:rPr>
        <w:t xml:space="preserve">   В бр. 5 на сп. “Счетоводство, данъци и право” доц. д-р Людмила </w:t>
      </w:r>
      <w:proofErr w:type="spellStart"/>
      <w:r w:rsidRPr="001E1E2B">
        <w:rPr>
          <w:rFonts w:ascii="Arial" w:eastAsia="Times New Roman" w:hAnsi="Arial" w:cs="Arial"/>
          <w:color w:val="333333"/>
          <w:sz w:val="23"/>
          <w:szCs w:val="23"/>
          <w:lang w:eastAsia="bg-BG"/>
        </w:rPr>
        <w:t>Мермерска</w:t>
      </w:r>
      <w:proofErr w:type="spellEnd"/>
      <w:r w:rsidRPr="001E1E2B">
        <w:rPr>
          <w:rFonts w:ascii="Arial" w:eastAsia="Times New Roman" w:hAnsi="Arial" w:cs="Arial"/>
          <w:color w:val="333333"/>
          <w:sz w:val="23"/>
          <w:szCs w:val="23"/>
          <w:lang w:eastAsia="bg-BG"/>
        </w:rPr>
        <w:t xml:space="preserve"> разглежда данъчното третиране по реда на </w:t>
      </w:r>
      <w:hyperlink r:id="rId9"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и ЗДДФЛ при прехвърляне на недвижим имот в случай на ликвидация на ЕООД в полза на собственика - физическо лице.</w:t>
      </w:r>
      <w:r w:rsidRPr="001E1E2B">
        <w:rPr>
          <w:rFonts w:ascii="Arial" w:eastAsia="Times New Roman" w:hAnsi="Arial" w:cs="Arial"/>
          <w:color w:val="333333"/>
          <w:sz w:val="23"/>
          <w:szCs w:val="23"/>
          <w:lang w:eastAsia="bg-BG"/>
        </w:rPr>
        <w:br/>
      </w:r>
      <w:r w:rsidRPr="001E1E2B">
        <w:rPr>
          <w:rFonts w:ascii="Arial" w:eastAsia="Times New Roman" w:hAnsi="Arial" w:cs="Arial"/>
          <w:color w:val="333333"/>
          <w:sz w:val="23"/>
          <w:szCs w:val="23"/>
          <w:lang w:eastAsia="bg-BG"/>
        </w:rPr>
        <w:br/>
        <w:t>   Ако не се извършат никакви предварителни действия по прехвърляне на недвижимия имот в полза на собственика/съдружника, а активите (под форма на недвижимото имущество), останали след удовлетворяване на кредиторите в края на процеса на ликвидация, се разпределят в негова полза, то е налице разпределяне на ликвидационен дял.</w:t>
      </w:r>
      <w:r w:rsidRPr="001E1E2B">
        <w:rPr>
          <w:rFonts w:ascii="Arial" w:eastAsia="Times New Roman" w:hAnsi="Arial" w:cs="Arial"/>
          <w:color w:val="333333"/>
          <w:sz w:val="23"/>
          <w:szCs w:val="23"/>
          <w:lang w:eastAsia="bg-BG"/>
        </w:rPr>
        <w:br/>
        <w:t>Какво е данъчното третиране от гледна точка на </w:t>
      </w:r>
      <w:hyperlink r:id="rId10"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и ЗДДФЛ при придобиване на недвижим имот (актив) като ликвидационен дял по смисъла на ТЗ?</w:t>
      </w:r>
      <w:r w:rsidRPr="001E1E2B">
        <w:rPr>
          <w:rFonts w:ascii="Arial" w:eastAsia="Times New Roman" w:hAnsi="Arial" w:cs="Arial"/>
          <w:color w:val="333333"/>
          <w:sz w:val="23"/>
          <w:szCs w:val="23"/>
          <w:lang w:eastAsia="bg-BG"/>
        </w:rPr>
        <w:br/>
        <w:t>И от гледна точка на </w:t>
      </w:r>
      <w:hyperlink r:id="rId11"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и от гледна точка на ЗДДФЛ в случая също се приема, че е налице разпределение под формата на ликвидационен дял. В тази връзка следва да посочим, че:</w:t>
      </w:r>
      <w:r w:rsidRPr="001E1E2B">
        <w:rPr>
          <w:rFonts w:ascii="Arial" w:eastAsia="Times New Roman" w:hAnsi="Arial" w:cs="Arial"/>
          <w:color w:val="333333"/>
          <w:sz w:val="23"/>
          <w:szCs w:val="23"/>
          <w:lang w:eastAsia="bg-BG"/>
        </w:rPr>
        <w:br/>
        <w:t>• “ликвидационен дял” според </w:t>
      </w:r>
      <w:hyperlink r:id="rId12"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е разпределението на дял от имуществото от едно лице (в случая ЕООД) при прекратяването му в полза на друго лице (в случая едноличния собственик) - т. 6 от § 1 на ДР на </w:t>
      </w:r>
      <w:hyperlink r:id="rId13"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w:t>
      </w:r>
      <w:r w:rsidRPr="001E1E2B">
        <w:rPr>
          <w:rFonts w:ascii="Arial" w:eastAsia="Times New Roman" w:hAnsi="Arial" w:cs="Arial"/>
          <w:color w:val="333333"/>
          <w:sz w:val="23"/>
          <w:szCs w:val="23"/>
          <w:lang w:eastAsia="bg-BG"/>
        </w:rPr>
        <w:br/>
        <w:t>• “ликвидационен дял” според ЗДДФЛ е ликвидационен дял по смисъла на </w:t>
      </w:r>
      <w:hyperlink r:id="rId14" w:anchor="top" w:tgtFrame="_blank" w:history="1">
        <w:r w:rsidRPr="001E1E2B">
          <w:rPr>
            <w:rFonts w:ascii="Arial" w:eastAsia="Times New Roman" w:hAnsi="Arial" w:cs="Arial"/>
            <w:b/>
            <w:bCs/>
            <w:color w:val="26004D"/>
            <w:sz w:val="23"/>
            <w:szCs w:val="23"/>
            <w:u w:val="single"/>
            <w:lang w:eastAsia="bg-BG"/>
          </w:rPr>
          <w:t>Търговския закон</w:t>
        </w:r>
      </w:hyperlink>
      <w:r w:rsidRPr="001E1E2B">
        <w:rPr>
          <w:rFonts w:ascii="Arial" w:eastAsia="Times New Roman" w:hAnsi="Arial" w:cs="Arial"/>
          <w:color w:val="333333"/>
          <w:sz w:val="23"/>
          <w:szCs w:val="23"/>
          <w:lang w:eastAsia="bg-BG"/>
        </w:rPr>
        <w:t> (т. 6, б. “а” от § 1 на ДР на ЗДДФЛ).</w:t>
      </w:r>
      <w:r w:rsidRPr="001E1E2B">
        <w:rPr>
          <w:rFonts w:ascii="Arial" w:eastAsia="Times New Roman" w:hAnsi="Arial" w:cs="Arial"/>
          <w:color w:val="333333"/>
          <w:sz w:val="23"/>
          <w:szCs w:val="23"/>
          <w:lang w:eastAsia="bg-BG"/>
        </w:rPr>
        <w:br/>
        <w:t>От гледна точка на </w:t>
      </w:r>
      <w:hyperlink r:id="rId15"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при разпределяне на ликвидационен дял под формата на недвижимо имущество (активи) следва да се приложи </w:t>
      </w:r>
      <w:hyperlink r:id="rId16" w:anchor="1156196" w:tgtFrame="_blank" w:history="1">
        <w:r w:rsidRPr="001E1E2B">
          <w:rPr>
            <w:rFonts w:ascii="Arial" w:eastAsia="Times New Roman" w:hAnsi="Arial" w:cs="Arial"/>
            <w:b/>
            <w:bCs/>
            <w:color w:val="26004D"/>
            <w:sz w:val="23"/>
            <w:szCs w:val="23"/>
            <w:u w:val="single"/>
            <w:lang w:eastAsia="bg-BG"/>
          </w:rPr>
          <w:t>чл. 165</w:t>
        </w:r>
      </w:hyperlink>
      <w:r w:rsidRPr="001E1E2B">
        <w:rPr>
          <w:rFonts w:ascii="Arial" w:eastAsia="Times New Roman" w:hAnsi="Arial" w:cs="Arial"/>
          <w:color w:val="333333"/>
          <w:sz w:val="23"/>
          <w:szCs w:val="23"/>
          <w:lang w:eastAsia="bg-BG"/>
        </w:rPr>
        <w:t> </w:t>
      </w:r>
      <w:hyperlink r:id="rId17"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според който разпределените като ликвидационен дял активи към момента на разпределението за данъчни цели се смятат за реализирани от данъчно задълженото лице по пазарни цени и се отписват. Затова към момента на решението за разпределяне на ликвидационния дял следва да се определи пазарната цена на имота (</w:t>
      </w:r>
      <w:hyperlink r:id="rId18" w:anchor="1156196" w:tgtFrame="_blank" w:history="1">
        <w:r w:rsidRPr="001E1E2B">
          <w:rPr>
            <w:rFonts w:ascii="Arial" w:eastAsia="Times New Roman" w:hAnsi="Arial" w:cs="Arial"/>
            <w:b/>
            <w:bCs/>
            <w:color w:val="26004D"/>
            <w:sz w:val="23"/>
            <w:szCs w:val="23"/>
            <w:u w:val="single"/>
            <w:lang w:eastAsia="bg-BG"/>
          </w:rPr>
          <w:t>чл. 165</w:t>
        </w:r>
      </w:hyperlink>
      <w:r w:rsidRPr="001E1E2B">
        <w:rPr>
          <w:rFonts w:ascii="Arial" w:eastAsia="Times New Roman" w:hAnsi="Arial" w:cs="Arial"/>
          <w:color w:val="333333"/>
          <w:sz w:val="23"/>
          <w:szCs w:val="23"/>
          <w:lang w:eastAsia="bg-BG"/>
        </w:rPr>
        <w:t>, ал. 1 </w:t>
      </w:r>
      <w:hyperlink r:id="rId19"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Желателно е за определяне на пазарната цена да се ползва лицензиран оценител, тъй като става въпрос за свързани лица по смисъла на § 1, т. 3 от ДР на </w:t>
      </w:r>
      <w:hyperlink r:id="rId20" w:anchor="top" w:tgtFrame="_blank" w:history="1">
        <w:r w:rsidRPr="001E1E2B">
          <w:rPr>
            <w:rFonts w:ascii="Arial" w:eastAsia="Times New Roman" w:hAnsi="Arial" w:cs="Arial"/>
            <w:b/>
            <w:bCs/>
            <w:color w:val="26004D"/>
            <w:sz w:val="23"/>
            <w:szCs w:val="23"/>
            <w:u w:val="single"/>
            <w:lang w:eastAsia="bg-BG"/>
          </w:rPr>
          <w:t>Данъчно-осигурителния процесуален кодекс</w:t>
        </w:r>
      </w:hyperlink>
      <w:r w:rsidRPr="001E1E2B">
        <w:rPr>
          <w:rFonts w:ascii="Arial" w:eastAsia="Times New Roman" w:hAnsi="Arial" w:cs="Arial"/>
          <w:color w:val="333333"/>
          <w:sz w:val="23"/>
          <w:szCs w:val="23"/>
          <w:lang w:eastAsia="bg-BG"/>
        </w:rPr>
        <w:t> (ДОПК) във връзка с т. 13 от § 1 на ДР на </w:t>
      </w:r>
      <w:hyperlink r:id="rId21"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Разбира се, той също трябва да приложи подходящ метод в съответствие с определените в Наредба № Н-9 от 14.08.2006 г. за реда и начините за прилагане на методите за определяне на пазарните цени методи или комбинация от тях.</w:t>
      </w:r>
      <w:r w:rsidRPr="001E1E2B">
        <w:rPr>
          <w:rFonts w:ascii="Arial" w:eastAsia="Times New Roman" w:hAnsi="Arial" w:cs="Arial"/>
          <w:color w:val="333333"/>
          <w:sz w:val="23"/>
          <w:szCs w:val="23"/>
          <w:lang w:eastAsia="bg-BG"/>
        </w:rPr>
        <w:br/>
        <w:t>Въз основа на определената пазарна цена се определя “виртуална” разлика между пазарната цена и балансовата стойност на имота, която може да бъде:</w:t>
      </w:r>
      <w:r w:rsidRPr="001E1E2B">
        <w:rPr>
          <w:rFonts w:ascii="Arial" w:eastAsia="Times New Roman" w:hAnsi="Arial" w:cs="Arial"/>
          <w:color w:val="333333"/>
          <w:sz w:val="23"/>
          <w:szCs w:val="23"/>
          <w:lang w:eastAsia="bg-BG"/>
        </w:rPr>
        <w:br/>
        <w:t>• положителна (пазарната цена превишава счетоводната балансова стойност), т.е. налице е “печалба от реализация на актива”;</w:t>
      </w:r>
      <w:r w:rsidRPr="001E1E2B">
        <w:rPr>
          <w:rFonts w:ascii="Arial" w:eastAsia="Times New Roman" w:hAnsi="Arial" w:cs="Arial"/>
          <w:color w:val="333333"/>
          <w:sz w:val="23"/>
          <w:szCs w:val="23"/>
          <w:lang w:eastAsia="bg-BG"/>
        </w:rPr>
        <w:br/>
      </w:r>
      <w:r w:rsidRPr="001E1E2B">
        <w:rPr>
          <w:rFonts w:ascii="Arial" w:eastAsia="Times New Roman" w:hAnsi="Arial" w:cs="Arial"/>
          <w:color w:val="333333"/>
          <w:sz w:val="23"/>
          <w:szCs w:val="23"/>
          <w:lang w:eastAsia="bg-BG"/>
        </w:rPr>
        <w:lastRenderedPageBreak/>
        <w:t>• отрицателна (пазарната цена е по-ниска от счетоводната балансовата стойност), т.е. налице е “загуба от реализация на актива”.</w:t>
      </w:r>
      <w:r w:rsidRPr="001E1E2B">
        <w:rPr>
          <w:rFonts w:ascii="Arial" w:eastAsia="Times New Roman" w:hAnsi="Arial" w:cs="Arial"/>
          <w:color w:val="333333"/>
          <w:sz w:val="23"/>
          <w:szCs w:val="23"/>
          <w:lang w:eastAsia="bg-BG"/>
        </w:rPr>
        <w:br/>
        <w:t>Основното преобразуване, което следва да се извърши при формиране на данъчния финансов резултат във връзка с разпределения ликвидационен дял в последната данъчна декларация по смисъла на </w:t>
      </w:r>
      <w:hyperlink r:id="rId22" w:anchor="1156192" w:tgtFrame="_blank" w:history="1">
        <w:r w:rsidRPr="001E1E2B">
          <w:rPr>
            <w:rFonts w:ascii="Arial" w:eastAsia="Times New Roman" w:hAnsi="Arial" w:cs="Arial"/>
            <w:b/>
            <w:bCs/>
            <w:color w:val="26004D"/>
            <w:sz w:val="23"/>
            <w:szCs w:val="23"/>
            <w:u w:val="single"/>
            <w:lang w:eastAsia="bg-BG"/>
          </w:rPr>
          <w:t>чл. 161</w:t>
        </w:r>
      </w:hyperlink>
      <w:r w:rsidRPr="001E1E2B">
        <w:rPr>
          <w:rFonts w:ascii="Arial" w:eastAsia="Times New Roman" w:hAnsi="Arial" w:cs="Arial"/>
          <w:color w:val="333333"/>
          <w:sz w:val="23"/>
          <w:szCs w:val="23"/>
          <w:lang w:eastAsia="bg-BG"/>
        </w:rPr>
        <w:t>, ал. 1 и </w:t>
      </w:r>
      <w:hyperlink r:id="rId23" w:anchor="1156193" w:tgtFrame="_blank" w:history="1">
        <w:r w:rsidRPr="001E1E2B">
          <w:rPr>
            <w:rFonts w:ascii="Arial" w:eastAsia="Times New Roman" w:hAnsi="Arial" w:cs="Arial"/>
            <w:b/>
            <w:bCs/>
            <w:color w:val="26004D"/>
            <w:sz w:val="23"/>
            <w:szCs w:val="23"/>
            <w:u w:val="single"/>
            <w:lang w:eastAsia="bg-BG"/>
          </w:rPr>
          <w:t>чл. 162</w:t>
        </w:r>
      </w:hyperlink>
      <w:r w:rsidRPr="001E1E2B">
        <w:rPr>
          <w:rFonts w:ascii="Arial" w:eastAsia="Times New Roman" w:hAnsi="Arial" w:cs="Arial"/>
          <w:color w:val="333333"/>
          <w:sz w:val="23"/>
          <w:szCs w:val="23"/>
          <w:lang w:eastAsia="bg-BG"/>
        </w:rPr>
        <w:t>, ал. 1 </w:t>
      </w:r>
      <w:hyperlink r:id="rId24"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е корекция на счетоводния резултат с резултата от “продажбата на актива”:</w:t>
      </w:r>
      <w:r w:rsidRPr="001E1E2B">
        <w:rPr>
          <w:rFonts w:ascii="Arial" w:eastAsia="Times New Roman" w:hAnsi="Arial" w:cs="Arial"/>
          <w:color w:val="333333"/>
          <w:sz w:val="23"/>
          <w:szCs w:val="23"/>
          <w:lang w:eastAsia="bg-BG"/>
        </w:rPr>
        <w:br/>
        <w:t>• увеличение с размера на “печалбата от реализация на актива” или</w:t>
      </w:r>
      <w:r w:rsidRPr="001E1E2B">
        <w:rPr>
          <w:rFonts w:ascii="Arial" w:eastAsia="Times New Roman" w:hAnsi="Arial" w:cs="Arial"/>
          <w:color w:val="333333"/>
          <w:sz w:val="23"/>
          <w:szCs w:val="23"/>
          <w:lang w:eastAsia="bg-BG"/>
        </w:rPr>
        <w:br/>
        <w:t>• намаление с размера на “загубата от реализация на актива” (</w:t>
      </w:r>
      <w:hyperlink r:id="rId25" w:anchor="1156196" w:tgtFrame="_blank" w:history="1">
        <w:r w:rsidRPr="001E1E2B">
          <w:rPr>
            <w:rFonts w:ascii="Arial" w:eastAsia="Times New Roman" w:hAnsi="Arial" w:cs="Arial"/>
            <w:b/>
            <w:bCs/>
            <w:color w:val="26004D"/>
            <w:sz w:val="23"/>
            <w:szCs w:val="23"/>
            <w:u w:val="single"/>
            <w:lang w:eastAsia="bg-BG"/>
          </w:rPr>
          <w:t>чл. 165</w:t>
        </w:r>
      </w:hyperlink>
      <w:r w:rsidRPr="001E1E2B">
        <w:rPr>
          <w:rFonts w:ascii="Arial" w:eastAsia="Times New Roman" w:hAnsi="Arial" w:cs="Arial"/>
          <w:color w:val="333333"/>
          <w:sz w:val="23"/>
          <w:szCs w:val="23"/>
          <w:lang w:eastAsia="bg-BG"/>
        </w:rPr>
        <w:t>, ал. 2 </w:t>
      </w:r>
      <w:hyperlink r:id="rId26"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w:t>
      </w:r>
      <w:r w:rsidRPr="001E1E2B">
        <w:rPr>
          <w:rFonts w:ascii="Arial" w:eastAsia="Times New Roman" w:hAnsi="Arial" w:cs="Arial"/>
          <w:color w:val="333333"/>
          <w:sz w:val="23"/>
          <w:szCs w:val="23"/>
          <w:lang w:eastAsia="bg-BG"/>
        </w:rPr>
        <w:br/>
        <w:t>Освен това според </w:t>
      </w:r>
      <w:hyperlink r:id="rId27" w:anchor="1156196" w:tgtFrame="_blank" w:history="1">
        <w:r w:rsidRPr="001E1E2B">
          <w:rPr>
            <w:rFonts w:ascii="Arial" w:eastAsia="Times New Roman" w:hAnsi="Arial" w:cs="Arial"/>
            <w:b/>
            <w:bCs/>
            <w:color w:val="26004D"/>
            <w:sz w:val="23"/>
            <w:szCs w:val="23"/>
            <w:u w:val="single"/>
            <w:lang w:eastAsia="bg-BG"/>
          </w:rPr>
          <w:t>чл. 165</w:t>
        </w:r>
      </w:hyperlink>
      <w:r w:rsidRPr="001E1E2B">
        <w:rPr>
          <w:rFonts w:ascii="Arial" w:eastAsia="Times New Roman" w:hAnsi="Arial" w:cs="Arial"/>
          <w:color w:val="333333"/>
          <w:sz w:val="23"/>
          <w:szCs w:val="23"/>
          <w:lang w:eastAsia="bg-BG"/>
        </w:rPr>
        <w:t>, ал. 2 и 3 </w:t>
      </w:r>
      <w:hyperlink r:id="rId28"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могат да бъдат извършени и допълнителни преобразувания.</w:t>
      </w:r>
      <w:r w:rsidRPr="001E1E2B">
        <w:rPr>
          <w:rFonts w:ascii="Arial" w:eastAsia="Times New Roman" w:hAnsi="Arial" w:cs="Arial"/>
          <w:color w:val="333333"/>
          <w:sz w:val="23"/>
          <w:szCs w:val="23"/>
          <w:lang w:eastAsia="bg-BG"/>
        </w:rPr>
        <w:br/>
        <w:t xml:space="preserve">1. Ако недвижимият имот е данъчен </w:t>
      </w:r>
      <w:proofErr w:type="spellStart"/>
      <w:r w:rsidRPr="001E1E2B">
        <w:rPr>
          <w:rFonts w:ascii="Arial" w:eastAsia="Times New Roman" w:hAnsi="Arial" w:cs="Arial"/>
          <w:color w:val="333333"/>
          <w:sz w:val="23"/>
          <w:szCs w:val="23"/>
          <w:lang w:eastAsia="bg-BG"/>
        </w:rPr>
        <w:t>амортизируем</w:t>
      </w:r>
      <w:proofErr w:type="spellEnd"/>
      <w:r w:rsidRPr="001E1E2B">
        <w:rPr>
          <w:rFonts w:ascii="Arial" w:eastAsia="Times New Roman" w:hAnsi="Arial" w:cs="Arial"/>
          <w:color w:val="333333"/>
          <w:sz w:val="23"/>
          <w:szCs w:val="23"/>
          <w:lang w:eastAsia="bg-BG"/>
        </w:rPr>
        <w:t xml:space="preserve"> актив (например апартамент, сграда, цех и т.н.) и съответно е заведен в счетоводния амортизационен план (</w:t>
      </w:r>
      <w:proofErr w:type="spellStart"/>
      <w:r w:rsidRPr="001E1E2B">
        <w:rPr>
          <w:rFonts w:ascii="Arial" w:eastAsia="Times New Roman" w:hAnsi="Arial" w:cs="Arial"/>
          <w:color w:val="333333"/>
          <w:sz w:val="23"/>
          <w:szCs w:val="23"/>
          <w:lang w:eastAsia="bg-BG"/>
        </w:rPr>
        <w:t>САПл</w:t>
      </w:r>
      <w:proofErr w:type="spellEnd"/>
      <w:r w:rsidRPr="001E1E2B">
        <w:rPr>
          <w:rFonts w:ascii="Arial" w:eastAsia="Times New Roman" w:hAnsi="Arial" w:cs="Arial"/>
          <w:color w:val="333333"/>
          <w:sz w:val="23"/>
          <w:szCs w:val="23"/>
          <w:lang w:eastAsia="bg-BG"/>
        </w:rPr>
        <w:t>) и данъчния амортизационен план (</w:t>
      </w:r>
      <w:proofErr w:type="spellStart"/>
      <w:r w:rsidRPr="001E1E2B">
        <w:rPr>
          <w:rFonts w:ascii="Arial" w:eastAsia="Times New Roman" w:hAnsi="Arial" w:cs="Arial"/>
          <w:color w:val="333333"/>
          <w:sz w:val="23"/>
          <w:szCs w:val="23"/>
          <w:lang w:eastAsia="bg-BG"/>
        </w:rPr>
        <w:t>ДАПл</w:t>
      </w:r>
      <w:proofErr w:type="spellEnd"/>
      <w:r w:rsidRPr="001E1E2B">
        <w:rPr>
          <w:rFonts w:ascii="Arial" w:eastAsia="Times New Roman" w:hAnsi="Arial" w:cs="Arial"/>
          <w:color w:val="333333"/>
          <w:sz w:val="23"/>
          <w:szCs w:val="23"/>
          <w:lang w:eastAsia="bg-BG"/>
        </w:rPr>
        <w:t xml:space="preserve">), то при отписването му от </w:t>
      </w:r>
      <w:proofErr w:type="spellStart"/>
      <w:r w:rsidRPr="001E1E2B">
        <w:rPr>
          <w:rFonts w:ascii="Arial" w:eastAsia="Times New Roman" w:hAnsi="Arial" w:cs="Arial"/>
          <w:color w:val="333333"/>
          <w:sz w:val="23"/>
          <w:szCs w:val="23"/>
          <w:lang w:eastAsia="bg-BG"/>
        </w:rPr>
        <w:t>САПл</w:t>
      </w:r>
      <w:proofErr w:type="spellEnd"/>
      <w:r w:rsidRPr="001E1E2B">
        <w:rPr>
          <w:rFonts w:ascii="Arial" w:eastAsia="Times New Roman" w:hAnsi="Arial" w:cs="Arial"/>
          <w:color w:val="333333"/>
          <w:sz w:val="23"/>
          <w:szCs w:val="23"/>
          <w:lang w:eastAsia="bg-BG"/>
        </w:rPr>
        <w:t xml:space="preserve"> и </w:t>
      </w:r>
      <w:proofErr w:type="spellStart"/>
      <w:r w:rsidRPr="001E1E2B">
        <w:rPr>
          <w:rFonts w:ascii="Arial" w:eastAsia="Times New Roman" w:hAnsi="Arial" w:cs="Arial"/>
          <w:color w:val="333333"/>
          <w:sz w:val="23"/>
          <w:szCs w:val="23"/>
          <w:lang w:eastAsia="bg-BG"/>
        </w:rPr>
        <w:t>ДАПл</w:t>
      </w:r>
      <w:proofErr w:type="spellEnd"/>
      <w:r w:rsidRPr="001E1E2B">
        <w:rPr>
          <w:rFonts w:ascii="Arial" w:eastAsia="Times New Roman" w:hAnsi="Arial" w:cs="Arial"/>
          <w:color w:val="333333"/>
          <w:sz w:val="23"/>
          <w:szCs w:val="23"/>
          <w:lang w:eastAsia="bg-BG"/>
        </w:rPr>
        <w:t xml:space="preserve"> се извършва стандартното преобразуване по реда на </w:t>
      </w:r>
      <w:hyperlink r:id="rId29" w:anchor="1156065" w:tgtFrame="_blank" w:history="1">
        <w:r w:rsidRPr="001E1E2B">
          <w:rPr>
            <w:rFonts w:ascii="Arial" w:eastAsia="Times New Roman" w:hAnsi="Arial" w:cs="Arial"/>
            <w:b/>
            <w:bCs/>
            <w:color w:val="26004D"/>
            <w:sz w:val="23"/>
            <w:szCs w:val="23"/>
            <w:u w:val="single"/>
            <w:lang w:eastAsia="bg-BG"/>
          </w:rPr>
          <w:t>чл. 66</w:t>
        </w:r>
      </w:hyperlink>
      <w:r w:rsidRPr="001E1E2B">
        <w:rPr>
          <w:rFonts w:ascii="Arial" w:eastAsia="Times New Roman" w:hAnsi="Arial" w:cs="Arial"/>
          <w:color w:val="333333"/>
          <w:sz w:val="23"/>
          <w:szCs w:val="23"/>
          <w:lang w:eastAsia="bg-BG"/>
        </w:rPr>
        <w:t>, ал. 1 и 2 </w:t>
      </w:r>
      <w:hyperlink r:id="rId30"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w:t>
      </w:r>
      <w:hyperlink r:id="rId31" w:anchor="1156196" w:tgtFrame="_blank" w:history="1">
        <w:r w:rsidRPr="001E1E2B">
          <w:rPr>
            <w:rFonts w:ascii="Arial" w:eastAsia="Times New Roman" w:hAnsi="Arial" w:cs="Arial"/>
            <w:b/>
            <w:bCs/>
            <w:color w:val="26004D"/>
            <w:sz w:val="23"/>
            <w:szCs w:val="23"/>
            <w:u w:val="single"/>
            <w:lang w:eastAsia="bg-BG"/>
          </w:rPr>
          <w:t>чл. 165</w:t>
        </w:r>
      </w:hyperlink>
      <w:r w:rsidRPr="001E1E2B">
        <w:rPr>
          <w:rFonts w:ascii="Arial" w:eastAsia="Times New Roman" w:hAnsi="Arial" w:cs="Arial"/>
          <w:color w:val="333333"/>
          <w:sz w:val="23"/>
          <w:szCs w:val="23"/>
          <w:lang w:eastAsia="bg-BG"/>
        </w:rPr>
        <w:t>, ал. 2 </w:t>
      </w:r>
      <w:hyperlink r:id="rId32"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като:</w:t>
      </w:r>
      <w:r w:rsidRPr="001E1E2B">
        <w:rPr>
          <w:rFonts w:ascii="Arial" w:eastAsia="Times New Roman" w:hAnsi="Arial" w:cs="Arial"/>
          <w:color w:val="333333"/>
          <w:sz w:val="23"/>
          <w:szCs w:val="23"/>
          <w:lang w:eastAsia="bg-BG"/>
        </w:rPr>
        <w:br/>
        <w:t>• счетоводният финансов резултат се увеличава със счетоводната балансова стойност на актива;</w:t>
      </w:r>
      <w:r w:rsidRPr="001E1E2B">
        <w:rPr>
          <w:rFonts w:ascii="Arial" w:eastAsia="Times New Roman" w:hAnsi="Arial" w:cs="Arial"/>
          <w:color w:val="333333"/>
          <w:sz w:val="23"/>
          <w:szCs w:val="23"/>
          <w:lang w:eastAsia="bg-BG"/>
        </w:rPr>
        <w:br/>
        <w:t>• счетоводният финансов резултат се намалява с данъчната стойност на актива.</w:t>
      </w:r>
      <w:r w:rsidRPr="001E1E2B">
        <w:rPr>
          <w:rFonts w:ascii="Arial" w:eastAsia="Times New Roman" w:hAnsi="Arial" w:cs="Arial"/>
          <w:color w:val="333333"/>
          <w:sz w:val="23"/>
          <w:szCs w:val="23"/>
          <w:lang w:eastAsia="bg-BG"/>
        </w:rPr>
        <w:br/>
        <w:t xml:space="preserve">2. При наличие на формиране на временни разлики от преходен данъчен период (преди вземане на решение за разпределяне на ликвидационен дял), например разходи от обезценка на недвижим имот, който не е данъчен </w:t>
      </w:r>
      <w:proofErr w:type="spellStart"/>
      <w:r w:rsidRPr="001E1E2B">
        <w:rPr>
          <w:rFonts w:ascii="Arial" w:eastAsia="Times New Roman" w:hAnsi="Arial" w:cs="Arial"/>
          <w:color w:val="333333"/>
          <w:sz w:val="23"/>
          <w:szCs w:val="23"/>
          <w:lang w:eastAsia="bg-BG"/>
        </w:rPr>
        <w:t>амортизируем</w:t>
      </w:r>
      <w:proofErr w:type="spellEnd"/>
      <w:r w:rsidRPr="001E1E2B">
        <w:rPr>
          <w:rFonts w:ascii="Arial" w:eastAsia="Times New Roman" w:hAnsi="Arial" w:cs="Arial"/>
          <w:color w:val="333333"/>
          <w:sz w:val="23"/>
          <w:szCs w:val="23"/>
          <w:lang w:eastAsia="bg-BG"/>
        </w:rPr>
        <w:t xml:space="preserve"> актив, като урегулиран поземлен имот (УПИ), селскостопанска земя и т.н., посочени в увеличение в предходен период по реда на </w:t>
      </w:r>
      <w:hyperlink r:id="rId33" w:anchor="1156002" w:tgtFrame="_blank" w:history="1">
        <w:r w:rsidRPr="001E1E2B">
          <w:rPr>
            <w:rFonts w:ascii="Arial" w:eastAsia="Times New Roman" w:hAnsi="Arial" w:cs="Arial"/>
            <w:b/>
            <w:bCs/>
            <w:color w:val="26004D"/>
            <w:sz w:val="23"/>
            <w:szCs w:val="23"/>
            <w:u w:val="single"/>
            <w:lang w:eastAsia="bg-BG"/>
          </w:rPr>
          <w:t>чл. 34</w:t>
        </w:r>
      </w:hyperlink>
      <w:r w:rsidRPr="001E1E2B">
        <w:rPr>
          <w:rFonts w:ascii="Arial" w:eastAsia="Times New Roman" w:hAnsi="Arial" w:cs="Arial"/>
          <w:color w:val="333333"/>
          <w:sz w:val="23"/>
          <w:szCs w:val="23"/>
          <w:lang w:eastAsia="bg-BG"/>
        </w:rPr>
        <w:t>, ал. 1 </w:t>
      </w:r>
      <w:hyperlink r:id="rId34"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при отписване на актива от счетоводните сметките могат “да се обърнат”, т.е. посочат в намаление по реда на </w:t>
      </w:r>
      <w:hyperlink r:id="rId35" w:anchor="1156003" w:tgtFrame="_blank" w:history="1">
        <w:r w:rsidRPr="001E1E2B">
          <w:rPr>
            <w:rFonts w:ascii="Arial" w:eastAsia="Times New Roman" w:hAnsi="Arial" w:cs="Arial"/>
            <w:b/>
            <w:bCs/>
            <w:color w:val="26004D"/>
            <w:sz w:val="23"/>
            <w:szCs w:val="23"/>
            <w:u w:val="single"/>
            <w:lang w:eastAsia="bg-BG"/>
          </w:rPr>
          <w:t>чл. 35</w:t>
        </w:r>
      </w:hyperlink>
      <w:r w:rsidRPr="001E1E2B">
        <w:rPr>
          <w:rFonts w:ascii="Arial" w:eastAsia="Times New Roman" w:hAnsi="Arial" w:cs="Arial"/>
          <w:color w:val="333333"/>
          <w:sz w:val="23"/>
          <w:szCs w:val="23"/>
          <w:lang w:eastAsia="bg-BG"/>
        </w:rPr>
        <w:t>, ал. 1 </w:t>
      </w:r>
      <w:hyperlink r:id="rId36"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xml:space="preserve">. Ще обърнем внимание, че разходите за обезценка/преоценка на активи, включени в </w:t>
      </w:r>
      <w:proofErr w:type="spellStart"/>
      <w:r w:rsidRPr="001E1E2B">
        <w:rPr>
          <w:rFonts w:ascii="Arial" w:eastAsia="Times New Roman" w:hAnsi="Arial" w:cs="Arial"/>
          <w:color w:val="333333"/>
          <w:sz w:val="23"/>
          <w:szCs w:val="23"/>
          <w:lang w:eastAsia="bg-BG"/>
        </w:rPr>
        <w:t>ДАПл</w:t>
      </w:r>
      <w:proofErr w:type="spellEnd"/>
      <w:r w:rsidRPr="001E1E2B">
        <w:rPr>
          <w:rFonts w:ascii="Arial" w:eastAsia="Times New Roman" w:hAnsi="Arial" w:cs="Arial"/>
          <w:color w:val="333333"/>
          <w:sz w:val="23"/>
          <w:szCs w:val="23"/>
          <w:lang w:eastAsia="bg-BG"/>
        </w:rPr>
        <w:t>, имат специален ред на третиране - те също не се признават при формирането им, но по друг ред </w:t>
      </w:r>
      <w:hyperlink r:id="rId37" w:anchor="1156064" w:tgtFrame="_blank" w:history="1">
        <w:r w:rsidRPr="001E1E2B">
          <w:rPr>
            <w:rFonts w:ascii="Arial" w:eastAsia="Times New Roman" w:hAnsi="Arial" w:cs="Arial"/>
            <w:b/>
            <w:bCs/>
            <w:color w:val="26004D"/>
            <w:sz w:val="23"/>
            <w:szCs w:val="23"/>
            <w:u w:val="single"/>
            <w:lang w:eastAsia="bg-BG"/>
          </w:rPr>
          <w:t>(чл. 65</w:t>
        </w:r>
      </w:hyperlink>
      <w:r w:rsidRPr="001E1E2B">
        <w:rPr>
          <w:rFonts w:ascii="Arial" w:eastAsia="Times New Roman" w:hAnsi="Arial" w:cs="Arial"/>
          <w:color w:val="333333"/>
          <w:sz w:val="23"/>
          <w:szCs w:val="23"/>
          <w:lang w:eastAsia="bg-BG"/>
        </w:rPr>
        <w:t> </w:t>
      </w:r>
      <w:hyperlink r:id="rId38"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и затова при отписване на актива “не се обръщат” пряко по реда на </w:t>
      </w:r>
      <w:hyperlink r:id="rId39" w:anchor="1156003" w:tgtFrame="_blank" w:history="1">
        <w:r w:rsidRPr="001E1E2B">
          <w:rPr>
            <w:rFonts w:ascii="Arial" w:eastAsia="Times New Roman" w:hAnsi="Arial" w:cs="Arial"/>
            <w:b/>
            <w:bCs/>
            <w:color w:val="26004D"/>
            <w:sz w:val="23"/>
            <w:szCs w:val="23"/>
            <w:u w:val="single"/>
            <w:lang w:eastAsia="bg-BG"/>
          </w:rPr>
          <w:t>чл. 35</w:t>
        </w:r>
      </w:hyperlink>
      <w:r w:rsidRPr="001E1E2B">
        <w:rPr>
          <w:rFonts w:ascii="Arial" w:eastAsia="Times New Roman" w:hAnsi="Arial" w:cs="Arial"/>
          <w:color w:val="333333"/>
          <w:sz w:val="23"/>
          <w:szCs w:val="23"/>
          <w:lang w:eastAsia="bg-BG"/>
        </w:rPr>
        <w:t>, ал. 1 </w:t>
      </w:r>
      <w:hyperlink r:id="rId40"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който кореспондира единствено с последващи оценки, непризнати в предходен период по реда на </w:t>
      </w:r>
      <w:hyperlink r:id="rId41" w:anchor="1156002" w:tgtFrame="_blank" w:history="1">
        <w:r w:rsidRPr="001E1E2B">
          <w:rPr>
            <w:rFonts w:ascii="Arial" w:eastAsia="Times New Roman" w:hAnsi="Arial" w:cs="Arial"/>
            <w:b/>
            <w:bCs/>
            <w:color w:val="26004D"/>
            <w:sz w:val="23"/>
            <w:szCs w:val="23"/>
            <w:u w:val="single"/>
            <w:lang w:eastAsia="bg-BG"/>
          </w:rPr>
          <w:t>чл. 34</w:t>
        </w:r>
      </w:hyperlink>
      <w:r w:rsidRPr="001E1E2B">
        <w:rPr>
          <w:rFonts w:ascii="Arial" w:eastAsia="Times New Roman" w:hAnsi="Arial" w:cs="Arial"/>
          <w:color w:val="333333"/>
          <w:sz w:val="23"/>
          <w:szCs w:val="23"/>
          <w:lang w:eastAsia="bg-BG"/>
        </w:rPr>
        <w:t>, ал. 1 </w:t>
      </w:r>
      <w:hyperlink r:id="rId42"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а косвено по реда на </w:t>
      </w:r>
      <w:hyperlink r:id="rId43" w:anchor="1156065" w:tgtFrame="_blank" w:history="1">
        <w:r w:rsidRPr="001E1E2B">
          <w:rPr>
            <w:rFonts w:ascii="Arial" w:eastAsia="Times New Roman" w:hAnsi="Arial" w:cs="Arial"/>
            <w:b/>
            <w:bCs/>
            <w:color w:val="26004D"/>
            <w:sz w:val="23"/>
            <w:szCs w:val="23"/>
            <w:u w:val="single"/>
            <w:lang w:eastAsia="bg-BG"/>
          </w:rPr>
          <w:t>чл. 66</w:t>
        </w:r>
      </w:hyperlink>
      <w:r w:rsidRPr="001E1E2B">
        <w:rPr>
          <w:rFonts w:ascii="Arial" w:eastAsia="Times New Roman" w:hAnsi="Arial" w:cs="Arial"/>
          <w:color w:val="333333"/>
          <w:sz w:val="23"/>
          <w:szCs w:val="23"/>
          <w:lang w:eastAsia="bg-BG"/>
        </w:rPr>
        <w:t>, ал. 2 </w:t>
      </w:r>
      <w:hyperlink r:id="rId44"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 чрез посочване в намаление на данъчната стойност на актива.</w:t>
      </w:r>
      <w:r w:rsidRPr="001E1E2B">
        <w:rPr>
          <w:rFonts w:ascii="Arial" w:eastAsia="Times New Roman" w:hAnsi="Arial" w:cs="Arial"/>
          <w:color w:val="333333"/>
          <w:sz w:val="23"/>
          <w:szCs w:val="23"/>
          <w:lang w:eastAsia="bg-BG"/>
        </w:rPr>
        <w:br/>
        <w:t>3. Счетоводните приходи и разходи, отчетени във връзка с разпределението на ликвидационния дял под формата на активи, не се признават за данъчни цели.</w:t>
      </w:r>
      <w:r w:rsidRPr="001E1E2B">
        <w:rPr>
          <w:rFonts w:ascii="Arial" w:eastAsia="Times New Roman" w:hAnsi="Arial" w:cs="Arial"/>
          <w:color w:val="333333"/>
          <w:sz w:val="23"/>
          <w:szCs w:val="23"/>
          <w:lang w:eastAsia="bg-BG"/>
        </w:rPr>
        <w:br/>
        <w:t xml:space="preserve">Тази разпоредба поражда най-много въпроси. Става въпрос за извършени и за счетоводни цели преоценки и обезценки, направени от момента на вземане на решение за разпределяне на ликвидационен дял до фактическото му разпределяне с цел стойността на актива, подлежащ на разпределяне като ликвидационен дял, да се отчете в баланса на предприятието по пазарни цени, което води до отразяване на счетоводни приходи и разходи от обезценки/преоценки. Тези счетоводни приходи и разходи на практика дублират задължителното </w:t>
      </w:r>
      <w:proofErr w:type="spellStart"/>
      <w:r w:rsidRPr="001E1E2B">
        <w:rPr>
          <w:rFonts w:ascii="Arial" w:eastAsia="Times New Roman" w:hAnsi="Arial" w:cs="Arial"/>
          <w:color w:val="333333"/>
          <w:sz w:val="23"/>
          <w:szCs w:val="23"/>
          <w:lang w:eastAsia="bg-BG"/>
        </w:rPr>
        <w:t>извънсчетоводно</w:t>
      </w:r>
      <w:proofErr w:type="spellEnd"/>
      <w:r w:rsidRPr="001E1E2B">
        <w:rPr>
          <w:rFonts w:ascii="Arial" w:eastAsia="Times New Roman" w:hAnsi="Arial" w:cs="Arial"/>
          <w:color w:val="333333"/>
          <w:sz w:val="23"/>
          <w:szCs w:val="23"/>
          <w:lang w:eastAsia="bg-BG"/>
        </w:rPr>
        <w:t xml:space="preserve"> преобразуване по реда на </w:t>
      </w:r>
      <w:hyperlink r:id="rId45" w:anchor="1156196" w:tgtFrame="_blank" w:history="1">
        <w:r w:rsidRPr="001E1E2B">
          <w:rPr>
            <w:rFonts w:ascii="Arial" w:eastAsia="Times New Roman" w:hAnsi="Arial" w:cs="Arial"/>
            <w:b/>
            <w:bCs/>
            <w:color w:val="26004D"/>
            <w:sz w:val="23"/>
            <w:szCs w:val="23"/>
            <w:u w:val="single"/>
            <w:lang w:eastAsia="bg-BG"/>
          </w:rPr>
          <w:t>чл. 165</w:t>
        </w:r>
      </w:hyperlink>
      <w:r w:rsidRPr="001E1E2B">
        <w:rPr>
          <w:rFonts w:ascii="Arial" w:eastAsia="Times New Roman" w:hAnsi="Arial" w:cs="Arial"/>
          <w:color w:val="333333"/>
          <w:sz w:val="23"/>
          <w:szCs w:val="23"/>
          <w:lang w:eastAsia="bg-BG"/>
        </w:rPr>
        <w:t>, ал. 2 </w:t>
      </w:r>
      <w:hyperlink r:id="rId46"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с “печалба/загуба от реализация на актива” и затова според </w:t>
      </w:r>
      <w:hyperlink r:id="rId47" w:anchor="1156196" w:tgtFrame="_blank" w:history="1">
        <w:r w:rsidRPr="001E1E2B">
          <w:rPr>
            <w:rFonts w:ascii="Arial" w:eastAsia="Times New Roman" w:hAnsi="Arial" w:cs="Arial"/>
            <w:b/>
            <w:bCs/>
            <w:color w:val="26004D"/>
            <w:sz w:val="23"/>
            <w:szCs w:val="23"/>
            <w:u w:val="single"/>
            <w:lang w:eastAsia="bg-BG"/>
          </w:rPr>
          <w:t>чл. 165</w:t>
        </w:r>
      </w:hyperlink>
      <w:r w:rsidRPr="001E1E2B">
        <w:rPr>
          <w:rFonts w:ascii="Arial" w:eastAsia="Times New Roman" w:hAnsi="Arial" w:cs="Arial"/>
          <w:color w:val="333333"/>
          <w:sz w:val="23"/>
          <w:szCs w:val="23"/>
          <w:lang w:eastAsia="bg-BG"/>
        </w:rPr>
        <w:t>, ал. 3 </w:t>
      </w:r>
      <w:hyperlink r:id="rId48"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следва да се елиминират за данъчни цели, като приходите се посочат в намаление, а разходите - в увеличение. Очевидно целта на преобразуванията, регламентирани в </w:t>
      </w:r>
      <w:hyperlink r:id="rId49" w:anchor="1156196" w:tgtFrame="_blank" w:history="1">
        <w:r w:rsidRPr="001E1E2B">
          <w:rPr>
            <w:rFonts w:ascii="Arial" w:eastAsia="Times New Roman" w:hAnsi="Arial" w:cs="Arial"/>
            <w:b/>
            <w:bCs/>
            <w:color w:val="26004D"/>
            <w:sz w:val="23"/>
            <w:szCs w:val="23"/>
            <w:u w:val="single"/>
            <w:lang w:eastAsia="bg-BG"/>
          </w:rPr>
          <w:t>чл. 165</w:t>
        </w:r>
      </w:hyperlink>
      <w:r w:rsidRPr="001E1E2B">
        <w:rPr>
          <w:rFonts w:ascii="Arial" w:eastAsia="Times New Roman" w:hAnsi="Arial" w:cs="Arial"/>
          <w:color w:val="333333"/>
          <w:sz w:val="23"/>
          <w:szCs w:val="23"/>
          <w:lang w:eastAsia="bg-BG"/>
        </w:rPr>
        <w:t> </w:t>
      </w:r>
      <w:hyperlink r:id="rId50"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е да се достигнат резултати, аналогични на тези, които биха се реализирали при прехвърляне на актива чрез продажба.</w:t>
      </w:r>
      <w:r w:rsidRPr="001E1E2B">
        <w:rPr>
          <w:rFonts w:ascii="Arial" w:eastAsia="Times New Roman" w:hAnsi="Arial" w:cs="Arial"/>
          <w:color w:val="333333"/>
          <w:sz w:val="23"/>
          <w:szCs w:val="23"/>
          <w:lang w:eastAsia="bg-BG"/>
        </w:rPr>
        <w:br/>
        <w:t>От гледна точка на ЗДДФЛ при разпределяне на ликвидационен дял под формата на имущество (активи) е налице изискване за извършване на облагане с 5 на сто окончателен данък на получения доход от разпределяне на ликвидационен дял (чл. 38, ал. 1, т. 2, б. “а” ЗДДФЛ).</w:t>
      </w:r>
      <w:r w:rsidRPr="001E1E2B">
        <w:rPr>
          <w:rFonts w:ascii="Arial" w:eastAsia="Times New Roman" w:hAnsi="Arial" w:cs="Arial"/>
          <w:color w:val="333333"/>
          <w:sz w:val="23"/>
          <w:szCs w:val="23"/>
          <w:lang w:eastAsia="bg-BG"/>
        </w:rPr>
        <w:br/>
        <w:t xml:space="preserve">Доколкото в случая е налице специфика - изплащане на ликвидационен дял в </w:t>
      </w:r>
      <w:r w:rsidRPr="001E1E2B">
        <w:rPr>
          <w:rFonts w:ascii="Arial" w:eastAsia="Times New Roman" w:hAnsi="Arial" w:cs="Arial"/>
          <w:color w:val="333333"/>
          <w:sz w:val="23"/>
          <w:szCs w:val="23"/>
          <w:lang w:eastAsia="bg-BG"/>
        </w:rPr>
        <w:lastRenderedPageBreak/>
        <w:t>натура (в случая под формата на недвижим имот), облагането следва да се извърши на база на пазарната стойност на вещта към момента на разпределянето й като ликвидационен дял в натура (чл. 10, ал. 2 и 4 ЗДДФЛ).</w:t>
      </w:r>
      <w:r w:rsidRPr="001E1E2B">
        <w:rPr>
          <w:rFonts w:ascii="Arial" w:eastAsia="Times New Roman" w:hAnsi="Arial" w:cs="Arial"/>
          <w:color w:val="333333"/>
          <w:sz w:val="23"/>
          <w:szCs w:val="23"/>
          <w:lang w:eastAsia="bg-BG"/>
        </w:rPr>
        <w:br/>
        <w:t>Обект на облагане обаче не е самата стойност на вещта (недвижимия имот), придобита като ликвидационен дял, а положителната разлика между:</w:t>
      </w:r>
      <w:r w:rsidRPr="001E1E2B">
        <w:rPr>
          <w:rFonts w:ascii="Arial" w:eastAsia="Times New Roman" w:hAnsi="Arial" w:cs="Arial"/>
          <w:color w:val="333333"/>
          <w:sz w:val="23"/>
          <w:szCs w:val="23"/>
          <w:lang w:eastAsia="bg-BG"/>
        </w:rPr>
        <w:br/>
        <w:t>• стойността на ликвидационния дял и</w:t>
      </w:r>
      <w:r w:rsidRPr="001E1E2B">
        <w:rPr>
          <w:rFonts w:ascii="Arial" w:eastAsia="Times New Roman" w:hAnsi="Arial" w:cs="Arial"/>
          <w:color w:val="333333"/>
          <w:sz w:val="23"/>
          <w:szCs w:val="23"/>
          <w:lang w:eastAsia="bg-BG"/>
        </w:rPr>
        <w:br/>
        <w:t>• документално доказаната цена на придобиване на дела в дружеството (чл. 38, ал. 4 ЗДДФЛ).</w:t>
      </w:r>
      <w:r w:rsidRPr="001E1E2B">
        <w:rPr>
          <w:rFonts w:ascii="Arial" w:eastAsia="Times New Roman" w:hAnsi="Arial" w:cs="Arial"/>
          <w:color w:val="333333"/>
          <w:sz w:val="23"/>
          <w:szCs w:val="23"/>
          <w:lang w:eastAsia="bg-BG"/>
        </w:rPr>
        <w:br/>
        <w:t>Затова дали ще има облагане или не по реда на чл. 38, ал. 1, т. 2, б. “а” ЗДДФЛ, зависи от това колко е вписаният внесен от собственика на ЕООД дял при регистрирането на дружеството (респективно и на по-късен етап). Делът, придобит чрез разпределяне на капитализирани дивиденти, не се взема предвид.</w:t>
      </w:r>
      <w:r w:rsidRPr="001E1E2B">
        <w:rPr>
          <w:rFonts w:ascii="Arial" w:eastAsia="Times New Roman" w:hAnsi="Arial" w:cs="Arial"/>
          <w:color w:val="333333"/>
          <w:sz w:val="23"/>
          <w:szCs w:val="23"/>
          <w:lang w:eastAsia="bg-BG"/>
        </w:rPr>
        <w:br/>
        <w:t>Например ако едноличният собственик притежава дял в ЕООД от 8000 лв., от които 5000 лв. е делът, вписан и внесен при регистрацията на дружеството, а 3000 лв. е формиран въз основа на капитализирани дивиденти, то документално доказаната цена на придобиване на дела, който следва да се приспадне при определяне на данъчната основа за облагане по реда на чл. 38, ал. 4 ЗДДФЛ, не е 8000 лв., а 5000 лв.</w:t>
      </w:r>
      <w:r w:rsidRPr="001E1E2B">
        <w:rPr>
          <w:rFonts w:ascii="Arial" w:eastAsia="Times New Roman" w:hAnsi="Arial" w:cs="Arial"/>
          <w:color w:val="333333"/>
          <w:sz w:val="23"/>
          <w:szCs w:val="23"/>
          <w:lang w:eastAsia="bg-BG"/>
        </w:rPr>
        <w:br/>
        <w:t>Ще обърнем внимание, че доколкото става въпрос за доходи в натура, предприятието платец не би могло да удържи левовата равностойност на данъка върху ликвидационния дял. Затова стойността на данъка следва да се внесе в предприятието от собственика. Ако данъкът се поеме от дружеството, то в данъчната декларация за последния данъчен период по смисъла на </w:t>
      </w:r>
      <w:hyperlink r:id="rId51" w:anchor="1156193" w:tgtFrame="_blank" w:history="1">
        <w:r w:rsidRPr="001E1E2B">
          <w:rPr>
            <w:rFonts w:ascii="Arial" w:eastAsia="Times New Roman" w:hAnsi="Arial" w:cs="Arial"/>
            <w:b/>
            <w:bCs/>
            <w:color w:val="26004D"/>
            <w:sz w:val="23"/>
            <w:szCs w:val="23"/>
            <w:u w:val="single"/>
            <w:lang w:eastAsia="bg-BG"/>
          </w:rPr>
          <w:t>чл. 162</w:t>
        </w:r>
      </w:hyperlink>
      <w:r w:rsidRPr="001E1E2B">
        <w:rPr>
          <w:rFonts w:ascii="Arial" w:eastAsia="Times New Roman" w:hAnsi="Arial" w:cs="Arial"/>
          <w:color w:val="333333"/>
          <w:sz w:val="23"/>
          <w:szCs w:val="23"/>
          <w:lang w:eastAsia="bg-BG"/>
        </w:rPr>
        <w:t>, ал. 1 </w:t>
      </w:r>
      <w:hyperlink r:id="rId52"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следва да се извърши допълнително преобразуване, тъй като този разход ще се третира като скрито разпределение на печалбата по смисъла на т. 5, б. “а” от § 1 на ДР на </w:t>
      </w:r>
      <w:hyperlink r:id="rId53"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(т. 8 от § 1 на ДР на ЗДДФЛ), поради което:</w:t>
      </w:r>
      <w:r w:rsidRPr="001E1E2B">
        <w:rPr>
          <w:rFonts w:ascii="Arial" w:eastAsia="Times New Roman" w:hAnsi="Arial" w:cs="Arial"/>
          <w:color w:val="333333"/>
          <w:sz w:val="23"/>
          <w:szCs w:val="23"/>
          <w:lang w:eastAsia="bg-BG"/>
        </w:rPr>
        <w:br/>
        <w:t>• няма да бъде признат като разход и по реда на </w:t>
      </w:r>
      <w:hyperlink r:id="rId54"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(чл. 26, т. 11 </w:t>
      </w:r>
      <w:hyperlink r:id="rId55"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w:t>
      </w:r>
      <w:r w:rsidRPr="001E1E2B">
        <w:rPr>
          <w:rFonts w:ascii="Arial" w:eastAsia="Times New Roman" w:hAnsi="Arial" w:cs="Arial"/>
          <w:color w:val="333333"/>
          <w:sz w:val="23"/>
          <w:szCs w:val="23"/>
          <w:lang w:eastAsia="bg-BG"/>
        </w:rPr>
        <w:br/>
        <w:t>• върху него ще се наложи санкция в размер на 20% (чл. 267 </w:t>
      </w:r>
      <w:hyperlink r:id="rId56"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w:t>
      </w:r>
      <w:r w:rsidRPr="001E1E2B">
        <w:rPr>
          <w:rFonts w:ascii="Arial" w:eastAsia="Times New Roman" w:hAnsi="Arial" w:cs="Arial"/>
          <w:color w:val="333333"/>
          <w:sz w:val="23"/>
          <w:szCs w:val="23"/>
          <w:lang w:eastAsia="bg-BG"/>
        </w:rPr>
        <w:br/>
        <w:t>• съответно ще подлежи на облагане с окончателен данък 5 на сто като дивидент по реда на чл. 38, ал. 3 ЗДДФЛ във връзка с § 1, т. 5, б. “в” от ДР на ЗДДФЛ.</w:t>
      </w:r>
      <w:r w:rsidRPr="001E1E2B">
        <w:rPr>
          <w:rFonts w:ascii="Arial" w:eastAsia="Times New Roman" w:hAnsi="Arial" w:cs="Arial"/>
          <w:color w:val="333333"/>
          <w:sz w:val="23"/>
          <w:szCs w:val="23"/>
          <w:lang w:eastAsia="bg-BG"/>
        </w:rPr>
        <w:br/>
        <w:t>Следва да се има предвид, че опитите да се извърши фиктивна обезценка на имота (или поредица от обезценки) преди вземане на решение за разпределянето на ликвидационен дял с цел минимизиране на данъчното задължение по реда на </w:t>
      </w:r>
      <w:hyperlink r:id="rId57" w:anchor="1156196" w:tgtFrame="_blank" w:history="1">
        <w:r w:rsidRPr="001E1E2B">
          <w:rPr>
            <w:rFonts w:ascii="Arial" w:eastAsia="Times New Roman" w:hAnsi="Arial" w:cs="Arial"/>
            <w:b/>
            <w:bCs/>
            <w:color w:val="26004D"/>
            <w:sz w:val="23"/>
            <w:szCs w:val="23"/>
            <w:u w:val="single"/>
            <w:lang w:eastAsia="bg-BG"/>
          </w:rPr>
          <w:t>чл. 165</w:t>
        </w:r>
      </w:hyperlink>
      <w:r w:rsidRPr="001E1E2B">
        <w:rPr>
          <w:rFonts w:ascii="Arial" w:eastAsia="Times New Roman" w:hAnsi="Arial" w:cs="Arial"/>
          <w:color w:val="333333"/>
          <w:sz w:val="23"/>
          <w:szCs w:val="23"/>
          <w:lang w:eastAsia="bg-BG"/>
        </w:rPr>
        <w:t> </w:t>
      </w:r>
      <w:hyperlink r:id="rId58" w:anchor="top" w:tgtFrame="_blank" w:history="1">
        <w:r w:rsidRPr="001E1E2B">
          <w:rPr>
            <w:rFonts w:ascii="Arial" w:eastAsia="Times New Roman" w:hAnsi="Arial" w:cs="Arial"/>
            <w:b/>
            <w:bCs/>
            <w:color w:val="26004D"/>
            <w:sz w:val="23"/>
            <w:szCs w:val="23"/>
            <w:u w:val="single"/>
            <w:lang w:eastAsia="bg-BG"/>
          </w:rPr>
          <w:t>ЗКПО</w:t>
        </w:r>
      </w:hyperlink>
      <w:r w:rsidRPr="001E1E2B">
        <w:rPr>
          <w:rFonts w:ascii="Arial" w:eastAsia="Times New Roman" w:hAnsi="Arial" w:cs="Arial"/>
          <w:color w:val="333333"/>
          <w:sz w:val="23"/>
          <w:szCs w:val="23"/>
          <w:lang w:eastAsia="bg-BG"/>
        </w:rPr>
        <w:t>, респективно на окончателния данък, определян по реда на чл. 38, ал. 4 ЗДДФЛ, няма да се приемат от приходните органи (вж. Разяснение № 21-04-14 от 25.01.2011 г. на Дирекция “ОУИ” - София).</w:t>
      </w:r>
    </w:p>
    <w:p w:rsidR="00E03E93" w:rsidRDefault="00E03E93">
      <w:bookmarkStart w:id="0" w:name="_GoBack"/>
      <w:bookmarkEnd w:id="0"/>
    </w:p>
    <w:sectPr w:rsidR="00E03E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1A2"/>
    <w:rsid w:val="001E1E2B"/>
    <w:rsid w:val="004541A2"/>
    <w:rsid w:val="00E03E9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DAB843-EE7A-4780-9D34-7FACE8BE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4465444">
      <w:bodyDiv w:val="1"/>
      <w:marLeft w:val="0"/>
      <w:marRight w:val="0"/>
      <w:marTop w:val="0"/>
      <w:marBottom w:val="0"/>
      <w:divBdr>
        <w:top w:val="none" w:sz="0" w:space="0" w:color="auto"/>
        <w:left w:val="none" w:sz="0" w:space="0" w:color="auto"/>
        <w:bottom w:val="none" w:sz="0" w:space="0" w:color="auto"/>
        <w:right w:val="none" w:sz="0" w:space="0" w:color="auto"/>
      </w:divBdr>
      <w:divsChild>
        <w:div w:id="1022904580">
          <w:marLeft w:val="0"/>
          <w:marRight w:val="0"/>
          <w:marTop w:val="0"/>
          <w:marBottom w:val="0"/>
          <w:divBdr>
            <w:top w:val="none" w:sz="0" w:space="0" w:color="auto"/>
            <w:left w:val="none" w:sz="0" w:space="0" w:color="auto"/>
            <w:bottom w:val="none" w:sz="0" w:space="0" w:color="auto"/>
            <w:right w:val="none" w:sz="0" w:space="0" w:color="auto"/>
          </w:divBdr>
        </w:div>
        <w:div w:id="1154567868">
          <w:marLeft w:val="0"/>
          <w:marRight w:val="0"/>
          <w:marTop w:val="0"/>
          <w:marBottom w:val="0"/>
          <w:divBdr>
            <w:top w:val="none" w:sz="0" w:space="0" w:color="auto"/>
            <w:left w:val="none" w:sz="0" w:space="0" w:color="auto"/>
            <w:bottom w:val="none" w:sz="0" w:space="0" w:color="auto"/>
            <w:right w:val="none" w:sz="0" w:space="0" w:color="auto"/>
          </w:divBdr>
        </w:div>
        <w:div w:id="297224875">
          <w:marLeft w:val="0"/>
          <w:marRight w:val="0"/>
          <w:marTop w:val="0"/>
          <w:marBottom w:val="0"/>
          <w:divBdr>
            <w:top w:val="none" w:sz="0" w:space="0" w:color="auto"/>
            <w:left w:val="none" w:sz="0" w:space="0" w:color="auto"/>
            <w:bottom w:val="none" w:sz="0" w:space="0" w:color="auto"/>
            <w:right w:val="none" w:sz="0" w:space="0" w:color="auto"/>
          </w:divBdr>
        </w:div>
        <w:div w:id="493227811">
          <w:marLeft w:val="0"/>
          <w:marRight w:val="0"/>
          <w:marTop w:val="0"/>
          <w:marBottom w:val="0"/>
          <w:divBdr>
            <w:top w:val="none" w:sz="0" w:space="0" w:color="auto"/>
            <w:left w:val="none" w:sz="0" w:space="0" w:color="auto"/>
            <w:bottom w:val="none" w:sz="0" w:space="0" w:color="auto"/>
            <w:right w:val="none" w:sz="0" w:space="0" w:color="auto"/>
          </w:divBdr>
        </w:div>
        <w:div w:id="1351638745">
          <w:marLeft w:val="0"/>
          <w:marRight w:val="0"/>
          <w:marTop w:val="0"/>
          <w:marBottom w:val="0"/>
          <w:divBdr>
            <w:top w:val="none" w:sz="0" w:space="0" w:color="auto"/>
            <w:left w:val="none" w:sz="0" w:space="0" w:color="auto"/>
            <w:bottom w:val="none" w:sz="0" w:space="0" w:color="auto"/>
            <w:right w:val="none" w:sz="0" w:space="0" w:color="auto"/>
          </w:divBdr>
        </w:div>
        <w:div w:id="1432317446">
          <w:marLeft w:val="0"/>
          <w:marRight w:val="0"/>
          <w:marTop w:val="0"/>
          <w:marBottom w:val="0"/>
          <w:divBdr>
            <w:top w:val="none" w:sz="0" w:space="0" w:color="auto"/>
            <w:left w:val="none" w:sz="0" w:space="0" w:color="auto"/>
            <w:bottom w:val="none" w:sz="0" w:space="0" w:color="auto"/>
            <w:right w:val="none" w:sz="0" w:space="0" w:color="auto"/>
          </w:divBdr>
        </w:div>
        <w:div w:id="20909314">
          <w:marLeft w:val="0"/>
          <w:marRight w:val="0"/>
          <w:marTop w:val="0"/>
          <w:marBottom w:val="0"/>
          <w:divBdr>
            <w:top w:val="none" w:sz="0" w:space="0" w:color="auto"/>
            <w:left w:val="none" w:sz="0" w:space="0" w:color="auto"/>
            <w:bottom w:val="none" w:sz="0" w:space="0" w:color="auto"/>
            <w:right w:val="none" w:sz="0" w:space="0" w:color="auto"/>
          </w:divBdr>
        </w:div>
        <w:div w:id="592132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kspertis.net/document/view/law/121563/57323" TargetMode="External"/><Relationship Id="rId18" Type="http://schemas.openxmlformats.org/officeDocument/2006/relationships/hyperlink" Target="http://www.ekspertis.net/document/view/law/121563/57323" TargetMode="External"/><Relationship Id="rId26" Type="http://schemas.openxmlformats.org/officeDocument/2006/relationships/hyperlink" Target="http://www.ekspertis.net/document/view/law/121563/57323" TargetMode="External"/><Relationship Id="rId39" Type="http://schemas.openxmlformats.org/officeDocument/2006/relationships/hyperlink" Target="http://www.ekspertis.net/document/view/law/121563/57323" TargetMode="External"/><Relationship Id="rId21" Type="http://schemas.openxmlformats.org/officeDocument/2006/relationships/hyperlink" Target="http://www.ekspertis.net/document/view/law/121563/57323" TargetMode="External"/><Relationship Id="rId34" Type="http://schemas.openxmlformats.org/officeDocument/2006/relationships/hyperlink" Target="http://www.ekspertis.net/document/view/law/121563/57323" TargetMode="External"/><Relationship Id="rId42" Type="http://schemas.openxmlformats.org/officeDocument/2006/relationships/hyperlink" Target="http://www.ekspertis.net/document/view/law/121563/57323" TargetMode="External"/><Relationship Id="rId47" Type="http://schemas.openxmlformats.org/officeDocument/2006/relationships/hyperlink" Target="http://www.ekspertis.net/document/view/law/121563/57323" TargetMode="External"/><Relationship Id="rId50" Type="http://schemas.openxmlformats.org/officeDocument/2006/relationships/hyperlink" Target="http://www.ekspertis.net/document/view/law/121563/57323" TargetMode="External"/><Relationship Id="rId55" Type="http://schemas.openxmlformats.org/officeDocument/2006/relationships/hyperlink" Target="http://www.ekspertis.net/document/view/law/121563/57323" TargetMode="External"/><Relationship Id="rId7" Type="http://schemas.openxmlformats.org/officeDocument/2006/relationships/hyperlink" Target="https://zakonnik.bg/category/expand/1597" TargetMode="External"/><Relationship Id="rId2" Type="http://schemas.openxmlformats.org/officeDocument/2006/relationships/settings" Target="settings.xml"/><Relationship Id="rId16" Type="http://schemas.openxmlformats.org/officeDocument/2006/relationships/hyperlink" Target="http://www.ekspertis.net/document/view/law/121563/57323" TargetMode="External"/><Relationship Id="rId29" Type="http://schemas.openxmlformats.org/officeDocument/2006/relationships/hyperlink" Target="http://www.ekspertis.net/document/view/law/121563/57323" TargetMode="External"/><Relationship Id="rId11" Type="http://schemas.openxmlformats.org/officeDocument/2006/relationships/hyperlink" Target="http://www.ekspertis.net/document/view/law/121563/57323" TargetMode="External"/><Relationship Id="rId24" Type="http://schemas.openxmlformats.org/officeDocument/2006/relationships/hyperlink" Target="http://www.ekspertis.net/document/view/law/121563/57323" TargetMode="External"/><Relationship Id="rId32" Type="http://schemas.openxmlformats.org/officeDocument/2006/relationships/hyperlink" Target="http://www.ekspertis.net/document/view/law/121563/57323" TargetMode="External"/><Relationship Id="rId37" Type="http://schemas.openxmlformats.org/officeDocument/2006/relationships/hyperlink" Target="http://www.ekspertis.net/document/view/law/121563/57323" TargetMode="External"/><Relationship Id="rId40" Type="http://schemas.openxmlformats.org/officeDocument/2006/relationships/hyperlink" Target="http://www.ekspertis.net/document/view/law/121563/57323" TargetMode="External"/><Relationship Id="rId45" Type="http://schemas.openxmlformats.org/officeDocument/2006/relationships/hyperlink" Target="http://www.ekspertis.net/document/view/law/121563/57323" TargetMode="External"/><Relationship Id="rId53" Type="http://schemas.openxmlformats.org/officeDocument/2006/relationships/hyperlink" Target="http://www.ekspertis.net/document/view/law/121563/57323" TargetMode="External"/><Relationship Id="rId58" Type="http://schemas.openxmlformats.org/officeDocument/2006/relationships/hyperlink" Target="http://www.ekspertis.net/document/view/law/121563/57323" TargetMode="External"/><Relationship Id="rId5" Type="http://schemas.openxmlformats.org/officeDocument/2006/relationships/hyperlink" Target="https://zakonnik.bg/category/expand/2259" TargetMode="External"/><Relationship Id="rId19" Type="http://schemas.openxmlformats.org/officeDocument/2006/relationships/hyperlink" Target="http://www.ekspertis.net/document/view/law/121563/57323" TargetMode="External"/><Relationship Id="rId4" Type="http://schemas.openxmlformats.org/officeDocument/2006/relationships/image" Target="media/image1.png"/><Relationship Id="rId9" Type="http://schemas.openxmlformats.org/officeDocument/2006/relationships/hyperlink" Target="http://www.ekspertis.net/document/view/law/121563/57323" TargetMode="External"/><Relationship Id="rId14" Type="http://schemas.openxmlformats.org/officeDocument/2006/relationships/hyperlink" Target="http://www.ekspertis.net/document/view/law/36628/56823" TargetMode="External"/><Relationship Id="rId22" Type="http://schemas.openxmlformats.org/officeDocument/2006/relationships/hyperlink" Target="http://www.ekspertis.net/document/view/law/121563/57323" TargetMode="External"/><Relationship Id="rId27" Type="http://schemas.openxmlformats.org/officeDocument/2006/relationships/hyperlink" Target="http://www.ekspertis.net/document/view/law/121563/57323" TargetMode="External"/><Relationship Id="rId30" Type="http://schemas.openxmlformats.org/officeDocument/2006/relationships/hyperlink" Target="http://www.ekspertis.net/document/view/law/121563/57323" TargetMode="External"/><Relationship Id="rId35" Type="http://schemas.openxmlformats.org/officeDocument/2006/relationships/hyperlink" Target="http://www.ekspertis.net/document/view/law/121563/57323" TargetMode="External"/><Relationship Id="rId43" Type="http://schemas.openxmlformats.org/officeDocument/2006/relationships/hyperlink" Target="http://www.ekspertis.net/document/view/law/121563/57323" TargetMode="External"/><Relationship Id="rId48" Type="http://schemas.openxmlformats.org/officeDocument/2006/relationships/hyperlink" Target="http://www.ekspertis.net/document/view/law/121563/57323" TargetMode="External"/><Relationship Id="rId56" Type="http://schemas.openxmlformats.org/officeDocument/2006/relationships/hyperlink" Target="http://www.ekspertis.net/document/view/law/121563/57323" TargetMode="External"/><Relationship Id="rId8" Type="http://schemas.openxmlformats.org/officeDocument/2006/relationships/hyperlink" Target="https://zakonnik.bg/doccategory/expand/2185" TargetMode="External"/><Relationship Id="rId51" Type="http://schemas.openxmlformats.org/officeDocument/2006/relationships/hyperlink" Target="http://www.ekspertis.net/document/view/law/121563/57323" TargetMode="External"/><Relationship Id="rId3" Type="http://schemas.openxmlformats.org/officeDocument/2006/relationships/webSettings" Target="webSettings.xml"/><Relationship Id="rId12" Type="http://schemas.openxmlformats.org/officeDocument/2006/relationships/hyperlink" Target="http://www.ekspertis.net/document/view/law/121563/57323" TargetMode="External"/><Relationship Id="rId17" Type="http://schemas.openxmlformats.org/officeDocument/2006/relationships/hyperlink" Target="http://www.ekspertis.net/document/view/law/121563/57323" TargetMode="External"/><Relationship Id="rId25" Type="http://schemas.openxmlformats.org/officeDocument/2006/relationships/hyperlink" Target="http://www.ekspertis.net/document/view/law/121563/57323" TargetMode="External"/><Relationship Id="rId33" Type="http://schemas.openxmlformats.org/officeDocument/2006/relationships/hyperlink" Target="http://www.ekspertis.net/document/view/law/121563/57323" TargetMode="External"/><Relationship Id="rId38" Type="http://schemas.openxmlformats.org/officeDocument/2006/relationships/hyperlink" Target="http://www.ekspertis.net/document/view/law/121563/57323" TargetMode="External"/><Relationship Id="rId46" Type="http://schemas.openxmlformats.org/officeDocument/2006/relationships/hyperlink" Target="http://www.ekspertis.net/document/view/law/121563/57323" TargetMode="External"/><Relationship Id="rId59" Type="http://schemas.openxmlformats.org/officeDocument/2006/relationships/fontTable" Target="fontTable.xml"/><Relationship Id="rId20" Type="http://schemas.openxmlformats.org/officeDocument/2006/relationships/hyperlink" Target="http://www.ekspertis.net/document/view/law/116519/57484" TargetMode="External"/><Relationship Id="rId41" Type="http://schemas.openxmlformats.org/officeDocument/2006/relationships/hyperlink" Target="http://www.ekspertis.net/document/view/law/121563/57323" TargetMode="External"/><Relationship Id="rId54" Type="http://schemas.openxmlformats.org/officeDocument/2006/relationships/hyperlink" Target="http://www.ekspertis.net/document/view/law/121563/57323" TargetMode="External"/><Relationship Id="rId1" Type="http://schemas.openxmlformats.org/officeDocument/2006/relationships/styles" Target="styles.xml"/><Relationship Id="rId6" Type="http://schemas.openxmlformats.org/officeDocument/2006/relationships/image" Target="media/image2.png"/><Relationship Id="rId15" Type="http://schemas.openxmlformats.org/officeDocument/2006/relationships/hyperlink" Target="http://www.ekspertis.net/document/view/law/121563/57323" TargetMode="External"/><Relationship Id="rId23" Type="http://schemas.openxmlformats.org/officeDocument/2006/relationships/hyperlink" Target="http://www.ekspertis.net/document/view/law/121563/57323" TargetMode="External"/><Relationship Id="rId28" Type="http://schemas.openxmlformats.org/officeDocument/2006/relationships/hyperlink" Target="http://www.ekspertis.net/document/view/law/121563/57323" TargetMode="External"/><Relationship Id="rId36" Type="http://schemas.openxmlformats.org/officeDocument/2006/relationships/hyperlink" Target="http://www.ekspertis.net/document/view/law/121563/57323" TargetMode="External"/><Relationship Id="rId49" Type="http://schemas.openxmlformats.org/officeDocument/2006/relationships/hyperlink" Target="http://www.ekspertis.net/document/view/law/121563/57323" TargetMode="External"/><Relationship Id="rId57" Type="http://schemas.openxmlformats.org/officeDocument/2006/relationships/hyperlink" Target="http://www.ekspertis.net/document/view/law/121563/57323" TargetMode="External"/><Relationship Id="rId10" Type="http://schemas.openxmlformats.org/officeDocument/2006/relationships/hyperlink" Target="http://www.ekspertis.net/document/view/law/121563/57323" TargetMode="External"/><Relationship Id="rId31" Type="http://schemas.openxmlformats.org/officeDocument/2006/relationships/hyperlink" Target="http://www.ekspertis.net/document/view/law/121563/57323" TargetMode="External"/><Relationship Id="rId44" Type="http://schemas.openxmlformats.org/officeDocument/2006/relationships/hyperlink" Target="http://www.ekspertis.net/document/view/law/121563/57323" TargetMode="External"/><Relationship Id="rId52" Type="http://schemas.openxmlformats.org/officeDocument/2006/relationships/hyperlink" Target="http://www.ekspertis.net/document/view/law/121563/57323" TargetMode="External"/><Relationship Id="rId60"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2031</Words>
  <Characters>11583</Characters>
  <Application>Microsoft Office Word</Application>
  <DocSecurity>0</DocSecurity>
  <Lines>96</Lines>
  <Paragraphs>27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2022-11-01T13:09:00Z</dcterms:created>
  <dcterms:modified xsi:type="dcterms:W3CDTF">2022-11-01T13:09:00Z</dcterms:modified>
</cp:coreProperties>
</file>