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61"/>
        <w:tblW w:w="10201" w:type="dxa"/>
        <w:tblLook w:val="04A0" w:firstRow="1" w:lastRow="0" w:firstColumn="1" w:lastColumn="0" w:noHBand="0" w:noVBand="1"/>
      </w:tblPr>
      <w:tblGrid>
        <w:gridCol w:w="1010"/>
        <w:gridCol w:w="2307"/>
        <w:gridCol w:w="2350"/>
        <w:gridCol w:w="2350"/>
        <w:gridCol w:w="2184"/>
      </w:tblGrid>
      <w:tr w:rsidR="00FA56C7" w14:paraId="198452F8" w14:textId="77777777" w:rsidTr="005373E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10" w:type="dxa"/>
          </w:tcPr>
          <w:p w14:paraId="59FF30A1" w14:textId="6B123BA2" w:rsidR="00FA56C7" w:rsidRPr="00FA56C7" w:rsidRDefault="00FA56C7" w:rsidP="00FA56C7">
            <w:pPr>
              <w:jc w:val="center"/>
              <w:rPr>
                <w:rFonts w:asciiTheme="majorHAnsi" w:hAnsiTheme="majorHAnsi"/>
              </w:rPr>
            </w:pPr>
            <w:r w:rsidRPr="00FA56C7">
              <w:rPr>
                <w:rFonts w:asciiTheme="majorHAnsi" w:hAnsiTheme="majorHAnsi"/>
              </w:rPr>
              <w:t>№</w:t>
            </w:r>
            <w:r w:rsidRPr="00FA56C7">
              <w:rPr>
                <w:rFonts w:asciiTheme="majorHAnsi" w:hAnsiTheme="majorHAnsi"/>
                <w:lang w:val="en-US"/>
              </w:rPr>
              <w:t xml:space="preserve"> </w:t>
            </w:r>
            <w:r w:rsidRPr="00FA56C7">
              <w:rPr>
                <w:rFonts w:asciiTheme="majorHAnsi" w:hAnsiTheme="majorHAnsi"/>
              </w:rPr>
              <w:t>на разхода</w:t>
            </w:r>
          </w:p>
        </w:tc>
        <w:tc>
          <w:tcPr>
            <w:tcW w:w="2307" w:type="dxa"/>
          </w:tcPr>
          <w:p w14:paraId="2DF96B14" w14:textId="21A208CD" w:rsidR="00FA56C7" w:rsidRPr="00FA56C7" w:rsidRDefault="00FA56C7" w:rsidP="00FA56C7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/>
              </w:rPr>
            </w:pPr>
            <w:r w:rsidRPr="00FA56C7">
              <w:rPr>
                <w:rFonts w:asciiTheme="majorHAnsi" w:hAnsiTheme="majorHAnsi"/>
              </w:rPr>
              <w:t>Вид разход</w:t>
            </w:r>
          </w:p>
        </w:tc>
        <w:tc>
          <w:tcPr>
            <w:tcW w:w="2350" w:type="dxa"/>
          </w:tcPr>
          <w:p w14:paraId="548DA8E5" w14:textId="02B64BCC" w:rsidR="00FA56C7" w:rsidRPr="00FA56C7" w:rsidRDefault="00FA56C7" w:rsidP="00FA56C7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/>
              </w:rPr>
            </w:pPr>
            <w:r w:rsidRPr="00FA56C7">
              <w:rPr>
                <w:rFonts w:asciiTheme="majorHAnsi" w:hAnsiTheme="majorHAnsi"/>
              </w:rPr>
              <w:t>Пряк разход</w:t>
            </w:r>
            <w:r>
              <w:rPr>
                <w:rFonts w:asciiTheme="majorHAnsi" w:hAnsiTheme="majorHAnsi"/>
              </w:rPr>
              <w:t xml:space="preserve"> – част от себестойността на актива</w:t>
            </w:r>
          </w:p>
        </w:tc>
        <w:tc>
          <w:tcPr>
            <w:tcW w:w="2350" w:type="dxa"/>
          </w:tcPr>
          <w:p w14:paraId="59952FBB" w14:textId="3ABE43EE" w:rsidR="00FA56C7" w:rsidRPr="00FA56C7" w:rsidRDefault="00FA56C7" w:rsidP="00FA56C7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/>
              </w:rPr>
            </w:pPr>
            <w:r w:rsidRPr="00FA56C7">
              <w:rPr>
                <w:rFonts w:asciiTheme="majorHAnsi" w:hAnsiTheme="majorHAnsi"/>
              </w:rPr>
              <w:t>Непряк разход</w:t>
            </w:r>
            <w:r>
              <w:rPr>
                <w:rFonts w:asciiTheme="majorHAnsi" w:hAnsiTheme="majorHAnsi"/>
              </w:rPr>
              <w:t xml:space="preserve"> – не е част от себестойността на актива </w:t>
            </w:r>
          </w:p>
        </w:tc>
        <w:tc>
          <w:tcPr>
            <w:tcW w:w="2184" w:type="dxa"/>
          </w:tcPr>
          <w:p w14:paraId="4B551145" w14:textId="6DC53B1A" w:rsidR="00FA56C7" w:rsidRPr="00FA56C7" w:rsidRDefault="00FA56C7" w:rsidP="00FA56C7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/>
              </w:rPr>
            </w:pPr>
            <w:r w:rsidRPr="00FA56C7">
              <w:rPr>
                <w:rFonts w:asciiTheme="majorHAnsi" w:hAnsiTheme="majorHAnsi"/>
              </w:rPr>
              <w:t>Обосновка</w:t>
            </w:r>
          </w:p>
        </w:tc>
      </w:tr>
      <w:tr w:rsidR="00FA56C7" w14:paraId="2DBF1D5A" w14:textId="77777777" w:rsidTr="005373E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10" w:type="dxa"/>
          </w:tcPr>
          <w:p w14:paraId="046FB1D7" w14:textId="364CEE87" w:rsidR="00FA56C7" w:rsidRPr="005373E2" w:rsidRDefault="00FA56C7" w:rsidP="005373E2">
            <w:pPr>
              <w:jc w:val="center"/>
              <w:rPr>
                <w:b w:val="0"/>
                <w:bCs w:val="0"/>
              </w:rPr>
            </w:pPr>
            <w:r w:rsidRPr="005373E2">
              <w:rPr>
                <w:b w:val="0"/>
                <w:bCs w:val="0"/>
              </w:rPr>
              <w:t>1</w:t>
            </w:r>
          </w:p>
        </w:tc>
        <w:tc>
          <w:tcPr>
            <w:tcW w:w="2307" w:type="dxa"/>
          </w:tcPr>
          <w:p w14:paraId="4C062BFE" w14:textId="5F468511" w:rsidR="00FA56C7" w:rsidRDefault="00FA56C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Морски транспорт – с контейнер</w:t>
            </w:r>
          </w:p>
        </w:tc>
        <w:tc>
          <w:tcPr>
            <w:tcW w:w="2350" w:type="dxa"/>
          </w:tcPr>
          <w:p w14:paraId="23D29388" w14:textId="535E1262" w:rsidR="00FA56C7" w:rsidRDefault="00FA56C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ДА</w:t>
            </w:r>
          </w:p>
        </w:tc>
        <w:tc>
          <w:tcPr>
            <w:tcW w:w="2350" w:type="dxa"/>
          </w:tcPr>
          <w:p w14:paraId="60727D3B" w14:textId="5AF41730" w:rsidR="00FA56C7" w:rsidRDefault="00FA56C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-</w:t>
            </w:r>
          </w:p>
        </w:tc>
        <w:tc>
          <w:tcPr>
            <w:tcW w:w="2184" w:type="dxa"/>
          </w:tcPr>
          <w:p w14:paraId="233B1C73" w14:textId="4F51958D" w:rsidR="00FA56C7" w:rsidRDefault="00FA56C7" w:rsidP="00FA56C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Няма как да се използва актива, ако не бъде транспортиран до мястото, където ще се използва</w:t>
            </w:r>
          </w:p>
        </w:tc>
      </w:tr>
      <w:tr w:rsidR="00FA56C7" w14:paraId="581DFE37" w14:textId="77777777" w:rsidTr="005373E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10" w:type="dxa"/>
          </w:tcPr>
          <w:p w14:paraId="17D5DAAB" w14:textId="07E33085" w:rsidR="00FA56C7" w:rsidRPr="005373E2" w:rsidRDefault="00FA56C7" w:rsidP="005373E2">
            <w:pPr>
              <w:jc w:val="center"/>
              <w:rPr>
                <w:b w:val="0"/>
                <w:bCs w:val="0"/>
              </w:rPr>
            </w:pPr>
            <w:r w:rsidRPr="005373E2">
              <w:rPr>
                <w:b w:val="0"/>
                <w:bCs w:val="0"/>
              </w:rPr>
              <w:t>2</w:t>
            </w:r>
          </w:p>
        </w:tc>
        <w:tc>
          <w:tcPr>
            <w:tcW w:w="2307" w:type="dxa"/>
          </w:tcPr>
          <w:p w14:paraId="023284DA" w14:textId="7509C945" w:rsidR="00FA56C7" w:rsidRDefault="00FA56C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Терминални разходи за внос</w:t>
            </w:r>
          </w:p>
        </w:tc>
        <w:tc>
          <w:tcPr>
            <w:tcW w:w="2350" w:type="dxa"/>
          </w:tcPr>
          <w:p w14:paraId="671F518C" w14:textId="70BD34E0" w:rsidR="00FA56C7" w:rsidRDefault="00FA56C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ДА – ако разходите подпомагат транспортирането</w:t>
            </w:r>
          </w:p>
        </w:tc>
        <w:tc>
          <w:tcPr>
            <w:tcW w:w="2350" w:type="dxa"/>
          </w:tcPr>
          <w:p w14:paraId="37884419" w14:textId="745597C0" w:rsidR="00FA56C7" w:rsidRDefault="00FA56C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НЕ -  ако разходите не подпомагат транспортирането</w:t>
            </w:r>
          </w:p>
        </w:tc>
        <w:tc>
          <w:tcPr>
            <w:tcW w:w="2184" w:type="dxa"/>
          </w:tcPr>
          <w:p w14:paraId="01A95491" w14:textId="77777777" w:rsidR="00FA56C7" w:rsidRDefault="00FA56C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FA56C7" w14:paraId="5BF2CE3F" w14:textId="77777777" w:rsidTr="005373E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10" w:type="dxa"/>
          </w:tcPr>
          <w:p w14:paraId="11AE5F06" w14:textId="12AB9258" w:rsidR="00FA56C7" w:rsidRPr="005373E2" w:rsidRDefault="00FA56C7" w:rsidP="005373E2">
            <w:pPr>
              <w:jc w:val="center"/>
              <w:rPr>
                <w:b w:val="0"/>
                <w:bCs w:val="0"/>
              </w:rPr>
            </w:pPr>
            <w:r w:rsidRPr="005373E2">
              <w:rPr>
                <w:b w:val="0"/>
                <w:bCs w:val="0"/>
              </w:rPr>
              <w:t>3</w:t>
            </w:r>
          </w:p>
        </w:tc>
        <w:tc>
          <w:tcPr>
            <w:tcW w:w="2307" w:type="dxa"/>
          </w:tcPr>
          <w:p w14:paraId="69801C5A" w14:textId="1CCD770B" w:rsidR="00FA56C7" w:rsidRDefault="00FA56C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Документална обработка</w:t>
            </w:r>
          </w:p>
        </w:tc>
        <w:tc>
          <w:tcPr>
            <w:tcW w:w="2350" w:type="dxa"/>
          </w:tcPr>
          <w:p w14:paraId="72CCAB38" w14:textId="27AD3826" w:rsidR="00FA56C7" w:rsidRDefault="00FA56C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ДА</w:t>
            </w:r>
          </w:p>
        </w:tc>
        <w:tc>
          <w:tcPr>
            <w:tcW w:w="2350" w:type="dxa"/>
          </w:tcPr>
          <w:p w14:paraId="30D16D38" w14:textId="77777777" w:rsidR="00FA56C7" w:rsidRDefault="00FA56C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2184" w:type="dxa"/>
          </w:tcPr>
          <w:p w14:paraId="6D57CA25" w14:textId="49D20F98" w:rsidR="00FA56C7" w:rsidRDefault="00FA56C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Защото без заплатената такса за документална обработка няма да се довърши транспортът на актива</w:t>
            </w:r>
          </w:p>
        </w:tc>
      </w:tr>
      <w:tr w:rsidR="00FA56C7" w14:paraId="75AB3687" w14:textId="77777777" w:rsidTr="005373E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10" w:type="dxa"/>
          </w:tcPr>
          <w:p w14:paraId="0CDF3ACE" w14:textId="1AAD15DC" w:rsidR="00FA56C7" w:rsidRPr="005373E2" w:rsidRDefault="00FA56C7" w:rsidP="005373E2">
            <w:pPr>
              <w:jc w:val="center"/>
              <w:rPr>
                <w:b w:val="0"/>
                <w:bCs w:val="0"/>
              </w:rPr>
            </w:pPr>
            <w:r w:rsidRPr="005373E2">
              <w:rPr>
                <w:b w:val="0"/>
                <w:bCs w:val="0"/>
              </w:rPr>
              <w:t>4</w:t>
            </w:r>
          </w:p>
        </w:tc>
        <w:tc>
          <w:tcPr>
            <w:tcW w:w="2307" w:type="dxa"/>
          </w:tcPr>
          <w:p w14:paraId="6ADFA43C" w14:textId="3665F5BB" w:rsidR="00FA56C7" w:rsidRDefault="00FA56C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Сервизна такса</w:t>
            </w:r>
          </w:p>
        </w:tc>
        <w:tc>
          <w:tcPr>
            <w:tcW w:w="2350" w:type="dxa"/>
          </w:tcPr>
          <w:p w14:paraId="20AC82DE" w14:textId="6596AEF1" w:rsidR="00FA56C7" w:rsidRDefault="00FA56C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ДА – ако без заплащането й, активът не може да се използва</w:t>
            </w:r>
          </w:p>
        </w:tc>
        <w:tc>
          <w:tcPr>
            <w:tcW w:w="2350" w:type="dxa"/>
          </w:tcPr>
          <w:p w14:paraId="152535E0" w14:textId="3D289E75" w:rsidR="00FA56C7" w:rsidRDefault="00FA56C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НЕ – ако без заплащането й, активът може да се използва</w:t>
            </w:r>
          </w:p>
        </w:tc>
        <w:tc>
          <w:tcPr>
            <w:tcW w:w="2184" w:type="dxa"/>
          </w:tcPr>
          <w:p w14:paraId="4F9080D4" w14:textId="77777777" w:rsidR="00FA56C7" w:rsidRDefault="00FA56C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FA56C7" w14:paraId="45FAF67D" w14:textId="77777777" w:rsidTr="005373E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10" w:type="dxa"/>
          </w:tcPr>
          <w:p w14:paraId="2B1A3D36" w14:textId="47CEF13A" w:rsidR="00FA56C7" w:rsidRPr="005373E2" w:rsidRDefault="00FA56C7" w:rsidP="005373E2">
            <w:pPr>
              <w:jc w:val="center"/>
              <w:rPr>
                <w:b w:val="0"/>
                <w:bCs w:val="0"/>
              </w:rPr>
            </w:pPr>
            <w:r w:rsidRPr="005373E2">
              <w:rPr>
                <w:b w:val="0"/>
                <w:bCs w:val="0"/>
              </w:rPr>
              <w:t>5</w:t>
            </w:r>
          </w:p>
        </w:tc>
        <w:tc>
          <w:tcPr>
            <w:tcW w:w="2307" w:type="dxa"/>
          </w:tcPr>
          <w:p w14:paraId="28AB0DB8" w14:textId="6ECF038A" w:rsidR="00FA56C7" w:rsidRDefault="005373E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Карго застраховка</w:t>
            </w:r>
          </w:p>
        </w:tc>
        <w:tc>
          <w:tcPr>
            <w:tcW w:w="2350" w:type="dxa"/>
          </w:tcPr>
          <w:p w14:paraId="453A2229" w14:textId="77777777" w:rsidR="00FA56C7" w:rsidRDefault="00FA56C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2350" w:type="dxa"/>
          </w:tcPr>
          <w:p w14:paraId="623D6253" w14:textId="7937BF3A" w:rsidR="00FA56C7" w:rsidRDefault="005373E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НЕ</w:t>
            </w:r>
          </w:p>
        </w:tc>
        <w:tc>
          <w:tcPr>
            <w:tcW w:w="2184" w:type="dxa"/>
          </w:tcPr>
          <w:p w14:paraId="67F1E56A" w14:textId="0023F2B3" w:rsidR="00FA56C7" w:rsidRDefault="005373E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Независимо дали има застраховка или не, активът може да се използва</w:t>
            </w:r>
          </w:p>
        </w:tc>
      </w:tr>
      <w:tr w:rsidR="005373E2" w14:paraId="40D1F4F0" w14:textId="77777777" w:rsidTr="005373E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10" w:type="dxa"/>
          </w:tcPr>
          <w:p w14:paraId="4C408C8A" w14:textId="51AE7327" w:rsidR="005373E2" w:rsidRPr="005373E2" w:rsidRDefault="005373E2" w:rsidP="005373E2">
            <w:pPr>
              <w:jc w:val="center"/>
              <w:rPr>
                <w:b w:val="0"/>
                <w:bCs w:val="0"/>
              </w:rPr>
            </w:pPr>
            <w:r w:rsidRPr="005373E2">
              <w:rPr>
                <w:b w:val="0"/>
                <w:bCs w:val="0"/>
              </w:rPr>
              <w:t>6</w:t>
            </w:r>
          </w:p>
        </w:tc>
        <w:tc>
          <w:tcPr>
            <w:tcW w:w="2307" w:type="dxa"/>
          </w:tcPr>
          <w:p w14:paraId="635C79B3" w14:textId="55814209" w:rsidR="005373E2" w:rsidRDefault="005373E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Митническо представителство</w:t>
            </w:r>
          </w:p>
        </w:tc>
        <w:tc>
          <w:tcPr>
            <w:tcW w:w="2350" w:type="dxa"/>
          </w:tcPr>
          <w:p w14:paraId="6DB5B39F" w14:textId="77777777" w:rsidR="005373E2" w:rsidRDefault="005373E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2350" w:type="dxa"/>
          </w:tcPr>
          <w:p w14:paraId="6EB8D4AB" w14:textId="5C6F1566" w:rsidR="005373E2" w:rsidRDefault="005373E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НЕ</w:t>
            </w:r>
          </w:p>
        </w:tc>
        <w:tc>
          <w:tcPr>
            <w:tcW w:w="2184" w:type="dxa"/>
          </w:tcPr>
          <w:p w14:paraId="43C39257" w14:textId="461BEE45" w:rsidR="005373E2" w:rsidRDefault="005373E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Може да се извърши и от придобиващия, а не от посредник. Следователно, не е определящо за придобиването на актива</w:t>
            </w:r>
          </w:p>
        </w:tc>
      </w:tr>
      <w:tr w:rsidR="005373E2" w14:paraId="02B25CBA" w14:textId="77777777" w:rsidTr="005373E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10" w:type="dxa"/>
          </w:tcPr>
          <w:p w14:paraId="0C11E029" w14:textId="7ABD0227" w:rsidR="005373E2" w:rsidRPr="005373E2" w:rsidRDefault="005373E2" w:rsidP="005373E2">
            <w:pPr>
              <w:jc w:val="center"/>
              <w:rPr>
                <w:b w:val="0"/>
                <w:bCs w:val="0"/>
              </w:rPr>
            </w:pPr>
            <w:r w:rsidRPr="005373E2">
              <w:rPr>
                <w:b w:val="0"/>
                <w:bCs w:val="0"/>
              </w:rPr>
              <w:t>7</w:t>
            </w:r>
          </w:p>
        </w:tc>
        <w:tc>
          <w:tcPr>
            <w:tcW w:w="2307" w:type="dxa"/>
          </w:tcPr>
          <w:p w14:paraId="24D13B4B" w14:textId="6FB706AA" w:rsidR="005373E2" w:rsidRDefault="005373E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Сухопътен транспорт на контейнера</w:t>
            </w:r>
          </w:p>
        </w:tc>
        <w:tc>
          <w:tcPr>
            <w:tcW w:w="2350" w:type="dxa"/>
          </w:tcPr>
          <w:p w14:paraId="09DC8125" w14:textId="044817C0" w:rsidR="005373E2" w:rsidRDefault="005373E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ДА</w:t>
            </w:r>
          </w:p>
        </w:tc>
        <w:tc>
          <w:tcPr>
            <w:tcW w:w="2350" w:type="dxa"/>
          </w:tcPr>
          <w:p w14:paraId="6B531432" w14:textId="77777777" w:rsidR="005373E2" w:rsidRDefault="005373E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2184" w:type="dxa"/>
          </w:tcPr>
          <w:p w14:paraId="6D3AC55C" w14:textId="78D68016" w:rsidR="005373E2" w:rsidRDefault="005373E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Същото като т.1</w:t>
            </w:r>
          </w:p>
        </w:tc>
      </w:tr>
      <w:tr w:rsidR="005373E2" w14:paraId="621C54D2" w14:textId="77777777" w:rsidTr="00896CE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201" w:type="dxa"/>
            <w:gridSpan w:val="5"/>
          </w:tcPr>
          <w:p w14:paraId="330F0414" w14:textId="3140EA59" w:rsidR="005373E2" w:rsidRDefault="005373E2" w:rsidP="005373E2">
            <w:pPr>
              <w:jc w:val="center"/>
            </w:pPr>
            <w:r>
              <w:t>Разходи, които формират себестойността на машината и разходи, които не я</w:t>
            </w:r>
          </w:p>
        </w:tc>
      </w:tr>
    </w:tbl>
    <w:p w14:paraId="465AAB6D" w14:textId="77777777" w:rsidR="009F65F2" w:rsidRDefault="009F65F2"/>
    <w:sectPr w:rsidR="009F65F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A56C7"/>
    <w:rsid w:val="004F1EAC"/>
    <w:rsid w:val="005373E2"/>
    <w:rsid w:val="009F65F2"/>
    <w:rsid w:val="00FA56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A2CF25"/>
  <w15:chartTrackingRefBased/>
  <w15:docId w15:val="{A75A908D-CBEB-4379-99C9-1CE420F717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bg-BG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FA56C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FA56C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FA56C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A56C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FA56C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FA56C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FA56C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FA56C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FA56C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лавие 1 Знак"/>
    <w:basedOn w:val="a0"/>
    <w:link w:val="1"/>
    <w:uiPriority w:val="9"/>
    <w:rsid w:val="00FA56C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0">
    <w:name w:val="Заглавие 2 Знак"/>
    <w:basedOn w:val="a0"/>
    <w:link w:val="2"/>
    <w:uiPriority w:val="9"/>
    <w:semiHidden/>
    <w:rsid w:val="00FA56C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0">
    <w:name w:val="Заглавие 3 Знак"/>
    <w:basedOn w:val="a0"/>
    <w:link w:val="3"/>
    <w:uiPriority w:val="9"/>
    <w:semiHidden/>
    <w:rsid w:val="00FA56C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0">
    <w:name w:val="Заглавие 4 Знак"/>
    <w:basedOn w:val="a0"/>
    <w:link w:val="4"/>
    <w:uiPriority w:val="9"/>
    <w:semiHidden/>
    <w:rsid w:val="00FA56C7"/>
    <w:rPr>
      <w:rFonts w:eastAsiaTheme="majorEastAsia" w:cstheme="majorBidi"/>
      <w:i/>
      <w:iCs/>
      <w:color w:val="0F4761" w:themeColor="accent1" w:themeShade="BF"/>
    </w:rPr>
  </w:style>
  <w:style w:type="character" w:customStyle="1" w:styleId="50">
    <w:name w:val="Заглавие 5 Знак"/>
    <w:basedOn w:val="a0"/>
    <w:link w:val="5"/>
    <w:uiPriority w:val="9"/>
    <w:semiHidden/>
    <w:rsid w:val="00FA56C7"/>
    <w:rPr>
      <w:rFonts w:eastAsiaTheme="majorEastAsia" w:cstheme="majorBidi"/>
      <w:color w:val="0F4761" w:themeColor="accent1" w:themeShade="BF"/>
    </w:rPr>
  </w:style>
  <w:style w:type="character" w:customStyle="1" w:styleId="60">
    <w:name w:val="Заглавие 6 Знак"/>
    <w:basedOn w:val="a0"/>
    <w:link w:val="6"/>
    <w:uiPriority w:val="9"/>
    <w:semiHidden/>
    <w:rsid w:val="00FA56C7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лавие 7 Знак"/>
    <w:basedOn w:val="a0"/>
    <w:link w:val="7"/>
    <w:uiPriority w:val="9"/>
    <w:semiHidden/>
    <w:rsid w:val="00FA56C7"/>
    <w:rPr>
      <w:rFonts w:eastAsiaTheme="majorEastAsia" w:cstheme="majorBidi"/>
      <w:color w:val="595959" w:themeColor="text1" w:themeTint="A6"/>
    </w:rPr>
  </w:style>
  <w:style w:type="character" w:customStyle="1" w:styleId="80">
    <w:name w:val="Заглавие 8 Знак"/>
    <w:basedOn w:val="a0"/>
    <w:link w:val="8"/>
    <w:uiPriority w:val="9"/>
    <w:semiHidden/>
    <w:rsid w:val="00FA56C7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лавие 9 Знак"/>
    <w:basedOn w:val="a0"/>
    <w:link w:val="9"/>
    <w:uiPriority w:val="9"/>
    <w:semiHidden/>
    <w:rsid w:val="00FA56C7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FA56C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лавие Знак"/>
    <w:basedOn w:val="a0"/>
    <w:link w:val="a3"/>
    <w:uiPriority w:val="10"/>
    <w:rsid w:val="00FA56C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FA56C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лавие Знак"/>
    <w:basedOn w:val="a0"/>
    <w:link w:val="a5"/>
    <w:uiPriority w:val="11"/>
    <w:rsid w:val="00FA56C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FA56C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Цитат Знак"/>
    <w:basedOn w:val="a0"/>
    <w:link w:val="a7"/>
    <w:uiPriority w:val="29"/>
    <w:rsid w:val="00FA56C7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FA56C7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FA56C7"/>
    <w:rPr>
      <w:i/>
      <w:iCs/>
      <w:color w:val="0F4761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FA56C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c">
    <w:name w:val="Интензивно цитиране Знак"/>
    <w:basedOn w:val="a0"/>
    <w:link w:val="ab"/>
    <w:uiPriority w:val="30"/>
    <w:rsid w:val="00FA56C7"/>
    <w:rPr>
      <w:i/>
      <w:iCs/>
      <w:color w:val="0F4761" w:themeColor="accent1" w:themeShade="BF"/>
    </w:rPr>
  </w:style>
  <w:style w:type="character" w:styleId="ad">
    <w:name w:val="Intense Reference"/>
    <w:basedOn w:val="a0"/>
    <w:uiPriority w:val="32"/>
    <w:qFormat/>
    <w:rsid w:val="00FA56C7"/>
    <w:rPr>
      <w:b/>
      <w:bCs/>
      <w:smallCaps/>
      <w:color w:val="0F4761" w:themeColor="accent1" w:themeShade="BF"/>
      <w:spacing w:val="5"/>
    </w:rPr>
  </w:style>
  <w:style w:type="table" w:styleId="ae">
    <w:name w:val="Table Grid"/>
    <w:basedOn w:val="a1"/>
    <w:uiPriority w:val="39"/>
    <w:rsid w:val="00FA56C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61">
    <w:name w:val="Grid Table 6 Colorful"/>
    <w:basedOn w:val="a1"/>
    <w:uiPriority w:val="51"/>
    <w:rsid w:val="00FA56C7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на Office">
  <a:themeElements>
    <a:clrScheme name="О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О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153</Words>
  <Characters>878</Characters>
  <Application>Microsoft Office Word</Application>
  <DocSecurity>0</DocSecurity>
  <Lines>7</Lines>
  <Paragraphs>2</Paragraphs>
  <ScaleCrop>false</ScaleCrop>
  <HeadingPairs>
    <vt:vector size="2" baseType="variant">
      <vt:variant>
        <vt:lpstr>Заглавие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Кристиян Драганов</dc:creator>
  <cp:keywords/>
  <dc:description/>
  <cp:lastModifiedBy>Кристиян Драганов</cp:lastModifiedBy>
  <cp:revision>1</cp:revision>
  <dcterms:created xsi:type="dcterms:W3CDTF">2025-11-07T19:46:00Z</dcterms:created>
  <dcterms:modified xsi:type="dcterms:W3CDTF">2025-11-07T20:03:00Z</dcterms:modified>
</cp:coreProperties>
</file>